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distribute"/>
        <w:rPr>
          <w:rFonts w:ascii="方正大标宋简体" w:hAnsi="Courier New" w:eastAsia="方正大标宋简体" w:cs="Times New Roman"/>
          <w:color w:val="FF0000"/>
          <w:w w:val="90"/>
          <w:kern w:val="2"/>
          <w:sz w:val="72"/>
          <w:szCs w:val="20"/>
          <w:lang w:val="en-US" w:eastAsia="zh-CN" w:bidi="ar-SA"/>
        </w:rPr>
      </w:pPr>
      <w:r>
        <w:rPr>
          <w:rFonts w:hint="eastAsia" w:ascii="方正大标宋简体" w:hAnsi="Courier New" w:eastAsia="方正大标宋简体" w:cs="Times New Roman"/>
          <w:color w:val="FF0000"/>
          <w:w w:val="90"/>
          <w:kern w:val="2"/>
          <w:sz w:val="72"/>
          <w:szCs w:val="20"/>
          <w:lang w:val="en-US" w:eastAsia="zh-CN" w:bidi="ar-SA"/>
        </w:rPr>
        <w:t>共青团北方工业大学委员会</w:t>
      </w:r>
    </w:p>
    <w:p>
      <w:pPr>
        <w:widowControl w:val="0"/>
        <w:jc w:val="distribute"/>
        <w:rPr>
          <w:rFonts w:ascii="方正大标宋简体" w:hAnsi="Courier New" w:eastAsia="方正大标宋简体" w:cs="Times New Roman"/>
          <w:color w:val="FF0000"/>
          <w:w w:val="90"/>
          <w:kern w:val="2"/>
          <w:sz w:val="72"/>
          <w:szCs w:val="20"/>
          <w:lang w:val="en-US" w:eastAsia="zh-CN" w:bidi="ar-SA"/>
        </w:rPr>
      </w:pPr>
      <w:r>
        <w:rPr>
          <w:rFonts w:hint="eastAsia" w:ascii="方正大标宋简体" w:hAnsi="Courier New" w:eastAsia="方正大标宋简体" w:cs="Times New Roman"/>
          <w:color w:val="FF0000"/>
          <w:w w:val="90"/>
          <w:kern w:val="2"/>
          <w:sz w:val="72"/>
          <w:szCs w:val="20"/>
          <w:lang w:val="en-US" w:eastAsia="zh-CN" w:bidi="ar-SA"/>
        </w:rPr>
        <w:t>北方工业大学学生工作部（处）</w:t>
      </w:r>
    </w:p>
    <w:p>
      <w:pPr>
        <w:widowControl w:val="0"/>
        <w:jc w:val="distribute"/>
        <w:rPr>
          <w:rFonts w:ascii="方正大标宋简体" w:hAnsi="Courier New" w:eastAsia="方正大标宋简体" w:cs="Times New Roman"/>
          <w:color w:val="FF0000"/>
          <w:w w:val="90"/>
          <w:kern w:val="2"/>
          <w:sz w:val="72"/>
          <w:szCs w:val="20"/>
          <w:lang w:val="en-US" w:eastAsia="zh-CN" w:bidi="ar-SA"/>
        </w:rPr>
      </w:pPr>
      <w:r>
        <w:rPr>
          <w:rFonts w:hint="eastAsia" w:ascii="方正大标宋简体" w:hAnsi="Courier New" w:eastAsia="方正大标宋简体" w:cs="Times New Roman"/>
          <w:color w:val="FF0000"/>
          <w:w w:val="90"/>
          <w:kern w:val="2"/>
          <w:sz w:val="72"/>
          <w:szCs w:val="20"/>
          <w:lang w:val="en-US" w:eastAsia="zh-CN" w:bidi="ar-SA"/>
        </w:rPr>
        <w:t>北方工业大学研究生工作部</w:t>
      </w:r>
    </w:p>
    <w:p>
      <w:pPr>
        <w:widowControl w:val="0"/>
        <w:jc w:val="distribute"/>
        <w:rPr>
          <w:rFonts w:ascii="方正大标宋简体" w:hAnsi="Courier New" w:eastAsia="方正大标宋简体" w:cs="Times New Roman"/>
          <w:color w:val="FF0000"/>
          <w:w w:val="90"/>
          <w:kern w:val="2"/>
          <w:sz w:val="72"/>
          <w:szCs w:val="20"/>
          <w:lang w:val="en-US" w:eastAsia="zh-CN" w:bidi="ar-SA"/>
        </w:rPr>
      </w:pPr>
      <w:r>
        <w:rPr>
          <w:rFonts w:hint="eastAsia" w:ascii="方正大标宋简体" w:hAnsi="Courier New" w:eastAsia="方正大标宋简体" w:cs="Times New Roman"/>
          <w:color w:val="FF0000"/>
          <w:w w:val="90"/>
          <w:kern w:val="2"/>
          <w:sz w:val="72"/>
          <w:szCs w:val="20"/>
          <w:lang w:val="en-US" w:eastAsia="zh-CN" w:bidi="ar-SA"/>
        </w:rPr>
        <w:t>北方工业大学财务处</w:t>
      </w:r>
    </w:p>
    <w:p>
      <w:pPr>
        <w:tabs>
          <w:tab w:val="center" w:pos="3855"/>
        </w:tabs>
        <w:jc w:val="center"/>
        <w:rPr>
          <w:rFonts w:ascii="楷体_GB2312" w:hAnsi="宋体" w:eastAsia="楷体_GB2312" w:cs="Calibri"/>
          <w:sz w:val="28"/>
          <w:szCs w:val="32"/>
        </w:rPr>
      </w:pPr>
      <w:r>
        <w:rPr>
          <w:rFonts w:hint="eastAsia" w:ascii="楷体_GB2312" w:hAnsi="宋体" w:eastAsia="楷体_GB2312" w:cs="Calibri"/>
          <w:sz w:val="28"/>
          <w:szCs w:val="32"/>
        </w:rPr>
        <w:t>团联发〔20</w:t>
      </w:r>
      <w:r>
        <w:rPr>
          <w:rFonts w:hint="eastAsia" w:ascii="楷体_GB2312" w:hAnsi="宋体" w:eastAsia="楷体_GB2312" w:cs="Calibri"/>
          <w:sz w:val="28"/>
          <w:szCs w:val="32"/>
          <w:lang w:val="en-US" w:eastAsia="zh-CN"/>
        </w:rPr>
        <w:t>21</w:t>
      </w:r>
      <w:r>
        <w:rPr>
          <w:rFonts w:hint="eastAsia" w:ascii="楷体_GB2312" w:hAnsi="宋体" w:eastAsia="楷体_GB2312" w:cs="Calibri"/>
          <w:sz w:val="28"/>
          <w:szCs w:val="32"/>
        </w:rPr>
        <w:t>〕</w:t>
      </w:r>
      <w:r>
        <w:rPr>
          <w:rFonts w:hint="eastAsia" w:ascii="楷体_GB2312" w:hAnsi="宋体" w:eastAsia="楷体_GB2312" w:cs="Calibri"/>
          <w:sz w:val="28"/>
          <w:szCs w:val="32"/>
          <w:lang w:val="en-US" w:eastAsia="zh-CN"/>
        </w:rPr>
        <w:t>2</w:t>
      </w:r>
      <w:r>
        <w:rPr>
          <w:rFonts w:hint="eastAsia" w:ascii="楷体_GB2312" w:hAnsi="宋体" w:eastAsia="楷体_GB2312" w:cs="Calibri"/>
          <w:sz w:val="28"/>
          <w:szCs w:val="32"/>
        </w:rPr>
        <w:t>号</w:t>
      </w:r>
    </w:p>
    <w:p>
      <w:pPr>
        <w:rPr>
          <w:rFonts w:ascii="Calibri" w:hAnsi="Calibri" w:eastAsia="宋体" w:cs="Calibri"/>
          <w:szCs w:val="21"/>
        </w:rPr>
      </w:pPr>
      <w:r>
        <w:rPr>
          <w:rFonts w:ascii="楷体_GB2312" w:hAnsi="宋体" w:eastAsia="楷体_GB2312" w:cs="Calibri"/>
          <w:sz w:val="32"/>
          <w:szCs w:val="32"/>
        </w:rPr>
        <w:pict>
          <v:shape id="自选图形 4" o:spid="_x0000_s2050" o:spt="32" type="#_x0000_t32" style="position:absolute;left:0pt;margin-left:-0.75pt;margin-top:5.75pt;height:0.05pt;width:418.75pt;z-index:251659264;mso-width-relative:page;mso-height-relative:page;" filled="f" stroked="t" coordsize="21600,21600">
            <v:path arrowok="t"/>
            <v:fill on="f" focussize="0,0"/>
            <v:stroke weight="2.25pt" color="#FF0000"/>
            <v:imagedata o:title=""/>
            <o:lock v:ext="edit"/>
          </v:shape>
        </w:pict>
      </w:r>
    </w:p>
    <w:p>
      <w:pPr>
        <w:rPr>
          <w:rFonts w:ascii="Calibri" w:hAnsi="Calibri" w:eastAsia="宋体" w:cs="Calibri"/>
          <w:szCs w:val="21"/>
        </w:rPr>
      </w:pPr>
    </w:p>
    <w:p>
      <w:pPr>
        <w:jc w:val="center"/>
        <w:rPr>
          <w:rFonts w:ascii="微软雅黑" w:hAnsi="微软雅黑" w:eastAsia="微软雅黑" w:cs="Times New Roman"/>
          <w:b/>
          <w:bCs/>
          <w:sz w:val="36"/>
          <w:szCs w:val="32"/>
        </w:rPr>
      </w:pPr>
      <w:r>
        <w:rPr>
          <w:rFonts w:hint="eastAsia" w:ascii="微软雅黑" w:hAnsi="微软雅黑" w:eastAsia="微软雅黑" w:cs="微软雅黑"/>
          <w:b/>
          <w:bCs/>
          <w:sz w:val="36"/>
          <w:szCs w:val="32"/>
        </w:rPr>
        <w:t>北方工业大学学生活动经费管理办法</w:t>
      </w:r>
    </w:p>
    <w:p>
      <w:pPr>
        <w:spacing w:line="360" w:lineRule="auto"/>
        <w:rPr>
          <w:rFonts w:ascii="Calibri" w:hAnsi="Calibri" w:eastAsia="宋体" w:cs="Times New Roman"/>
          <w:sz w:val="28"/>
          <w:szCs w:val="24"/>
        </w:rPr>
      </w:pPr>
    </w:p>
    <w:p>
      <w:pPr>
        <w:snapToGrid w:val="0"/>
        <w:spacing w:line="360" w:lineRule="auto"/>
        <w:jc w:val="center"/>
        <w:rPr>
          <w:rFonts w:ascii="黑体" w:hAnsi="黑体" w:eastAsia="黑体" w:cs="Times New Roman"/>
          <w:b/>
          <w:sz w:val="32"/>
          <w:szCs w:val="28"/>
        </w:rPr>
      </w:pPr>
      <w:r>
        <w:rPr>
          <w:rFonts w:hint="eastAsia" w:ascii="黑体" w:hAnsi="黑体" w:eastAsia="黑体" w:cs="黑体"/>
          <w:b/>
          <w:sz w:val="32"/>
          <w:szCs w:val="28"/>
        </w:rPr>
        <w:t>第一章  总则</w:t>
      </w:r>
    </w:p>
    <w:p>
      <w:pPr>
        <w:spacing w:line="360" w:lineRule="auto"/>
        <w:ind w:firstLine="630" w:firstLineChars="196"/>
        <w:rPr>
          <w:rFonts w:ascii="仿宋_GB2312" w:hAnsi="仿宋" w:eastAsia="仿宋_GB2312" w:cs="Times New Roman"/>
          <w:sz w:val="32"/>
          <w:szCs w:val="28"/>
        </w:rPr>
      </w:pPr>
      <w:r>
        <w:rPr>
          <w:rFonts w:hint="eastAsia" w:ascii="仿宋_GB2312" w:hAnsi="仿宋" w:eastAsia="仿宋_GB2312" w:cs="仿宋_GB2312"/>
          <w:b/>
          <w:bCs/>
          <w:sz w:val="32"/>
          <w:szCs w:val="28"/>
        </w:rPr>
        <w:t xml:space="preserve">第一条  </w:t>
      </w:r>
      <w:r>
        <w:rPr>
          <w:rFonts w:hint="eastAsia" w:ascii="仿宋_GB2312" w:hAnsi="仿宋" w:eastAsia="仿宋_GB2312" w:cs="仿宋_GB2312"/>
          <w:sz w:val="32"/>
          <w:szCs w:val="28"/>
        </w:rPr>
        <w:t>为进一步规范学校学生活动经费的管理和使用，提高资金使用效益，根据国家和北京市相关规定、学校财务管理和内部控制的要求，制定本办法。</w:t>
      </w:r>
    </w:p>
    <w:p>
      <w:pPr>
        <w:spacing w:line="360" w:lineRule="auto"/>
        <w:ind w:firstLine="630" w:firstLineChars="196"/>
        <w:rPr>
          <w:rFonts w:ascii="仿宋_GB2312" w:hAnsi="仿宋" w:eastAsia="仿宋_GB2312" w:cs="Times New Roman"/>
          <w:sz w:val="32"/>
          <w:szCs w:val="28"/>
        </w:rPr>
      </w:pPr>
      <w:r>
        <w:rPr>
          <w:rFonts w:hint="eastAsia" w:ascii="仿宋_GB2312" w:hAnsi="仿宋" w:eastAsia="仿宋_GB2312" w:cs="仿宋_GB2312"/>
          <w:b/>
          <w:bCs/>
          <w:sz w:val="32"/>
          <w:szCs w:val="28"/>
        </w:rPr>
        <w:t xml:space="preserve">第二条  </w:t>
      </w:r>
      <w:r>
        <w:rPr>
          <w:rFonts w:hint="eastAsia" w:ascii="仿宋_GB2312" w:hAnsi="Calibri" w:eastAsia="仿宋_GB2312" w:cs="仿宋_GB2312"/>
          <w:sz w:val="32"/>
          <w:szCs w:val="28"/>
        </w:rPr>
        <w:t>本办法所称学生活动经费是指由学校预算（包括部门基本经费预算、校内专项预算，下同）安排的，学生工作部（处）、</w:t>
      </w:r>
      <w:r>
        <w:rPr>
          <w:rFonts w:hint="eastAsia" w:ascii="仿宋_GB2312" w:hAnsi="仿宋" w:eastAsia="仿宋_GB2312" w:cs="仿宋_GB2312"/>
          <w:sz w:val="32"/>
          <w:szCs w:val="28"/>
        </w:rPr>
        <w:t>研究生工作部、</w:t>
      </w:r>
      <w:r>
        <w:rPr>
          <w:rFonts w:hint="eastAsia" w:ascii="仿宋_GB2312" w:hAnsi="Calibri" w:eastAsia="仿宋_GB2312" w:cs="仿宋_GB2312"/>
          <w:sz w:val="32"/>
          <w:szCs w:val="28"/>
        </w:rPr>
        <w:t>校团委、</w:t>
      </w:r>
      <w:r>
        <w:rPr>
          <w:rFonts w:hint="eastAsia" w:ascii="仿宋_GB2312" w:hAnsi="仿宋" w:eastAsia="仿宋_GB2312" w:cs="仿宋_GB2312"/>
          <w:sz w:val="32"/>
          <w:szCs w:val="28"/>
        </w:rPr>
        <w:t>各学院</w:t>
      </w:r>
      <w:r>
        <w:rPr>
          <w:rFonts w:hint="eastAsia" w:ascii="仿宋_GB2312" w:hAnsi="Calibri" w:eastAsia="仿宋_GB2312" w:cs="仿宋_GB2312"/>
          <w:sz w:val="32"/>
          <w:szCs w:val="28"/>
        </w:rPr>
        <w:t>为组织管理学生事务、开展各类文体活动及社会实践等相关活动所发生的，财务上专户核算与管理的各类资金。</w:t>
      </w:r>
    </w:p>
    <w:p>
      <w:pPr>
        <w:spacing w:line="360" w:lineRule="auto"/>
        <w:ind w:firstLine="630" w:firstLineChars="196"/>
        <w:rPr>
          <w:rFonts w:ascii="仿宋_GB2312" w:hAnsi="仿宋" w:eastAsia="仿宋_GB2312" w:cs="Times New Roman"/>
          <w:sz w:val="32"/>
          <w:szCs w:val="28"/>
        </w:rPr>
      </w:pPr>
      <w:r>
        <w:rPr>
          <w:rFonts w:hint="eastAsia" w:ascii="仿宋_GB2312" w:hAnsi="仿宋" w:eastAsia="仿宋_GB2312" w:cs="仿宋_GB2312"/>
          <w:b/>
          <w:bCs/>
          <w:sz w:val="32"/>
          <w:szCs w:val="28"/>
        </w:rPr>
        <w:t xml:space="preserve">第三条  </w:t>
      </w:r>
      <w:r>
        <w:rPr>
          <w:rFonts w:hint="eastAsia" w:ascii="仿宋_GB2312" w:hAnsi="仿宋" w:eastAsia="仿宋_GB2312" w:cs="仿宋_GB2312"/>
          <w:sz w:val="32"/>
          <w:szCs w:val="28"/>
        </w:rPr>
        <w:t>本办法适用于学生工作部（处）、研究生工作部、校团委、各学院管理的学生活动经费。上述单位主要</w:t>
      </w:r>
      <w:r>
        <w:rPr>
          <w:rFonts w:hint="eastAsia" w:ascii="仿宋_GB2312" w:hAnsi="Calibri" w:eastAsia="仿宋_GB2312" w:cs="Calibri"/>
          <w:sz w:val="32"/>
          <w:szCs w:val="28"/>
        </w:rPr>
        <w:t>负责人对本单位学生活动经费使用的真实性、合理性、合规性负责。</w:t>
      </w:r>
    </w:p>
    <w:p>
      <w:pPr>
        <w:spacing w:line="360" w:lineRule="auto"/>
        <w:ind w:firstLine="643" w:firstLineChars="200"/>
        <w:rPr>
          <w:rFonts w:ascii="仿宋_GB2312" w:hAnsi="Calibri" w:eastAsia="仿宋_GB2312" w:cs="仿宋_GB2312"/>
          <w:sz w:val="32"/>
          <w:szCs w:val="28"/>
        </w:rPr>
      </w:pPr>
      <w:r>
        <w:rPr>
          <w:rFonts w:hint="eastAsia" w:ascii="仿宋_GB2312" w:hAnsi="仿宋" w:eastAsia="仿宋_GB2312" w:cs="仿宋_GB2312"/>
          <w:b/>
          <w:bCs/>
          <w:sz w:val="32"/>
          <w:szCs w:val="28"/>
        </w:rPr>
        <w:t xml:space="preserve">第四条  </w:t>
      </w:r>
      <w:r>
        <w:rPr>
          <w:rFonts w:hint="eastAsia" w:ascii="仿宋_GB2312" w:hAnsi="Calibri" w:eastAsia="仿宋_GB2312" w:cs="仿宋_GB2312"/>
          <w:sz w:val="32"/>
          <w:szCs w:val="28"/>
        </w:rPr>
        <w:t>学生活动经费实行预算管理，按预算划拨、专户核算。</w:t>
      </w:r>
    </w:p>
    <w:p>
      <w:pPr>
        <w:snapToGrid w:val="0"/>
        <w:spacing w:before="240" w:line="360" w:lineRule="auto"/>
        <w:jc w:val="center"/>
        <w:rPr>
          <w:rFonts w:ascii="黑体" w:hAnsi="黑体" w:eastAsia="黑体" w:cs="黑体"/>
          <w:b/>
          <w:sz w:val="32"/>
          <w:szCs w:val="28"/>
        </w:rPr>
      </w:pPr>
      <w:r>
        <w:rPr>
          <w:rFonts w:hint="eastAsia" w:ascii="黑体" w:hAnsi="黑体" w:eastAsia="黑体" w:cs="黑体"/>
          <w:b/>
          <w:sz w:val="32"/>
          <w:szCs w:val="28"/>
        </w:rPr>
        <w:t>第二章  经费预算</w:t>
      </w:r>
    </w:p>
    <w:p>
      <w:pPr>
        <w:spacing w:line="360" w:lineRule="auto"/>
        <w:ind w:firstLine="630" w:firstLineChars="196"/>
        <w:rPr>
          <w:rFonts w:ascii="仿宋_GB2312" w:hAnsi="仿宋" w:eastAsia="仿宋_GB2312" w:cs="Times New Roman"/>
          <w:sz w:val="32"/>
          <w:szCs w:val="28"/>
        </w:rPr>
      </w:pPr>
      <w:r>
        <w:rPr>
          <w:rFonts w:hint="eastAsia" w:ascii="仿宋_GB2312" w:hAnsi="仿宋" w:eastAsia="仿宋_GB2312" w:cs="仿宋_GB2312"/>
          <w:b/>
          <w:bCs/>
          <w:sz w:val="32"/>
          <w:szCs w:val="28"/>
        </w:rPr>
        <w:t xml:space="preserve">第五条  </w:t>
      </w:r>
      <w:r>
        <w:rPr>
          <w:rFonts w:hint="eastAsia" w:ascii="仿宋_GB2312" w:hAnsi="仿宋" w:eastAsia="仿宋_GB2312" w:cs="仿宋_GB2312"/>
          <w:sz w:val="32"/>
          <w:szCs w:val="28"/>
        </w:rPr>
        <w:t>学生活动经费归口管理部门要科学编制年度经费预算，紧密围绕学校立德树人、人才培养中心任务和年度重点工作制定年度学生活动计划，确保学生团学组织建设、文体活动、社会实践及志愿服务等任务的落实，认真组织学生活动经费预算编制和申报工作。归口管理部门年度学生活动经费预算申报方案要经本单位领导班子会议集体研究确定。</w:t>
      </w:r>
    </w:p>
    <w:p>
      <w:pPr>
        <w:spacing w:line="360" w:lineRule="auto"/>
        <w:ind w:firstLine="630" w:firstLineChars="196"/>
        <w:rPr>
          <w:rFonts w:ascii="仿宋_GB2312" w:hAnsi="仿宋" w:eastAsia="仿宋_GB2312" w:cs="仿宋_GB2312"/>
          <w:sz w:val="32"/>
          <w:szCs w:val="28"/>
        </w:rPr>
      </w:pPr>
      <w:r>
        <w:rPr>
          <w:rFonts w:hint="eastAsia" w:ascii="仿宋_GB2312" w:hAnsi="仿宋" w:eastAsia="仿宋_GB2312" w:cs="仿宋_GB2312"/>
          <w:b/>
          <w:bCs/>
          <w:sz w:val="32"/>
          <w:szCs w:val="28"/>
        </w:rPr>
        <w:t xml:space="preserve">第六条  </w:t>
      </w:r>
      <w:r>
        <w:rPr>
          <w:rFonts w:hint="eastAsia" w:ascii="仿宋_GB2312" w:hAnsi="仿宋" w:eastAsia="仿宋_GB2312" w:cs="仿宋_GB2312"/>
          <w:sz w:val="32"/>
          <w:szCs w:val="28"/>
        </w:rPr>
        <w:t>学生活动经费管理及使用单位要维护预算的严肃性，不得随意调整经费预算。业务完成后应及时办理报销手续，不得在年末集中性突击花钱，不得将学生活动经费挪作它用，不得超范围、超标准开支学生活动经费。</w:t>
      </w:r>
    </w:p>
    <w:p>
      <w:pPr>
        <w:spacing w:line="360" w:lineRule="auto"/>
        <w:ind w:firstLine="630" w:firstLineChars="196"/>
        <w:rPr>
          <w:rFonts w:ascii="仿宋_GB2312" w:hAnsi="仿宋" w:eastAsia="仿宋_GB2312" w:cs="仿宋_GB2312"/>
          <w:b/>
          <w:bCs/>
          <w:sz w:val="32"/>
          <w:szCs w:val="28"/>
        </w:rPr>
      </w:pPr>
      <w:r>
        <w:rPr>
          <w:rFonts w:hint="eastAsia" w:ascii="仿宋_GB2312" w:hAnsi="仿宋" w:eastAsia="仿宋_GB2312" w:cs="仿宋_GB2312"/>
          <w:b/>
          <w:bCs/>
          <w:sz w:val="32"/>
          <w:szCs w:val="28"/>
        </w:rPr>
        <w:t xml:space="preserve">第七条  </w:t>
      </w:r>
      <w:r>
        <w:rPr>
          <w:rFonts w:hint="eastAsia" w:ascii="仿宋_GB2312" w:hAnsi="仿宋" w:eastAsia="仿宋_GB2312" w:cs="仿宋_GB2312"/>
          <w:sz w:val="32"/>
          <w:szCs w:val="28"/>
        </w:rPr>
        <w:t>组织开展某项学生活动前，应在核拨的年度预算范围内实行经费使用事前审批制度，经所在单位学生活动经费负责人同意后方可办理物资采购、合同签订等事项。</w:t>
      </w:r>
    </w:p>
    <w:p>
      <w:pPr>
        <w:spacing w:line="360" w:lineRule="auto"/>
        <w:ind w:firstLine="630" w:firstLineChars="196"/>
        <w:rPr>
          <w:rFonts w:ascii="仿宋_GB2312" w:hAnsi="仿宋" w:eastAsia="仿宋_GB2312" w:cs="Times New Roman"/>
          <w:sz w:val="32"/>
          <w:szCs w:val="28"/>
        </w:rPr>
      </w:pPr>
      <w:r>
        <w:rPr>
          <w:rFonts w:hint="eastAsia" w:ascii="仿宋_GB2312" w:hAnsi="仿宋" w:eastAsia="仿宋_GB2312" w:cs="仿宋_GB2312"/>
          <w:b/>
          <w:bCs/>
          <w:sz w:val="32"/>
          <w:szCs w:val="28"/>
        </w:rPr>
        <w:t xml:space="preserve">第八条  </w:t>
      </w:r>
      <w:r>
        <w:rPr>
          <w:rFonts w:hint="eastAsia" w:ascii="仿宋_GB2312" w:hAnsi="仿宋" w:eastAsia="仿宋_GB2312" w:cs="仿宋_GB2312"/>
          <w:sz w:val="32"/>
          <w:szCs w:val="28"/>
        </w:rPr>
        <w:t>本着厉行节约的原则，学校对每项学生活动的经费支出实行额度控制。常规学生活动中：一类活动预算不得超过</w:t>
      </w:r>
      <w:r>
        <w:rPr>
          <w:rFonts w:ascii="仿宋_GB2312" w:hAnsi="仿宋" w:eastAsia="仿宋_GB2312" w:cs="仿宋_GB2312"/>
          <w:sz w:val="32"/>
          <w:szCs w:val="28"/>
        </w:rPr>
        <w:t>30</w:t>
      </w:r>
      <w:r>
        <w:rPr>
          <w:rFonts w:hint="eastAsia" w:ascii="仿宋_GB2312" w:hAnsi="仿宋" w:eastAsia="仿宋_GB2312" w:cs="仿宋_GB2312"/>
          <w:sz w:val="32"/>
          <w:szCs w:val="28"/>
        </w:rPr>
        <w:t>万元；二类活动预算不得超过</w:t>
      </w:r>
      <w:r>
        <w:rPr>
          <w:rFonts w:ascii="仿宋_GB2312" w:hAnsi="仿宋" w:eastAsia="仿宋_GB2312" w:cs="仿宋_GB2312"/>
          <w:sz w:val="32"/>
          <w:szCs w:val="28"/>
        </w:rPr>
        <w:t>10</w:t>
      </w:r>
      <w:r>
        <w:rPr>
          <w:rFonts w:hint="eastAsia" w:ascii="仿宋_GB2312" w:hAnsi="仿宋" w:eastAsia="仿宋_GB2312" w:cs="仿宋_GB2312"/>
          <w:sz w:val="32"/>
          <w:szCs w:val="28"/>
        </w:rPr>
        <w:t>万元；三类活动预算不得超过</w:t>
      </w:r>
      <w:r>
        <w:rPr>
          <w:rFonts w:ascii="仿宋_GB2312" w:hAnsi="仿宋" w:eastAsia="仿宋_GB2312" w:cs="仿宋_GB2312"/>
          <w:sz w:val="32"/>
          <w:szCs w:val="28"/>
        </w:rPr>
        <w:t>5</w:t>
      </w:r>
      <w:r>
        <w:rPr>
          <w:rFonts w:hint="eastAsia" w:ascii="仿宋_GB2312" w:hAnsi="仿宋" w:eastAsia="仿宋_GB2312" w:cs="仿宋_GB2312"/>
          <w:sz w:val="32"/>
          <w:szCs w:val="28"/>
        </w:rPr>
        <w:t>万元；四类活动预算不得超过</w:t>
      </w:r>
      <w:r>
        <w:rPr>
          <w:rFonts w:ascii="仿宋_GB2312" w:hAnsi="仿宋" w:eastAsia="仿宋_GB2312" w:cs="仿宋_GB2312"/>
          <w:sz w:val="32"/>
          <w:szCs w:val="28"/>
        </w:rPr>
        <w:t>1</w:t>
      </w:r>
      <w:r>
        <w:rPr>
          <w:rFonts w:hint="eastAsia" w:ascii="仿宋_GB2312" w:hAnsi="仿宋" w:eastAsia="仿宋_GB2312" w:cs="仿宋_GB2312"/>
          <w:sz w:val="32"/>
          <w:szCs w:val="28"/>
        </w:rPr>
        <w:t>万元；五类活动预算不得超过</w:t>
      </w:r>
      <w:r>
        <w:rPr>
          <w:rFonts w:ascii="仿宋_GB2312" w:hAnsi="仿宋" w:eastAsia="仿宋_GB2312" w:cs="仿宋_GB2312"/>
          <w:sz w:val="32"/>
          <w:szCs w:val="28"/>
        </w:rPr>
        <w:t>0.5</w:t>
      </w:r>
      <w:r>
        <w:rPr>
          <w:rFonts w:hint="eastAsia" w:ascii="仿宋_GB2312" w:hAnsi="仿宋" w:eastAsia="仿宋_GB2312" w:cs="仿宋_GB2312"/>
          <w:sz w:val="32"/>
          <w:szCs w:val="28"/>
        </w:rPr>
        <w:t>万元。学生活动的类型及认定办法由校团委另行制定。</w:t>
      </w:r>
    </w:p>
    <w:p>
      <w:pPr>
        <w:snapToGrid w:val="0"/>
        <w:spacing w:before="240" w:line="360" w:lineRule="auto"/>
        <w:jc w:val="center"/>
        <w:rPr>
          <w:rFonts w:ascii="黑体" w:hAnsi="黑体" w:eastAsia="黑体" w:cs="黑体"/>
          <w:b/>
          <w:sz w:val="32"/>
          <w:szCs w:val="28"/>
        </w:rPr>
      </w:pPr>
      <w:r>
        <w:rPr>
          <w:rFonts w:hint="eastAsia" w:ascii="黑体" w:hAnsi="黑体" w:eastAsia="黑体" w:cs="黑体"/>
          <w:b/>
          <w:sz w:val="32"/>
          <w:szCs w:val="28"/>
        </w:rPr>
        <w:t>第三章  经费使用与报销管理</w:t>
      </w:r>
    </w:p>
    <w:p>
      <w:pPr>
        <w:spacing w:line="360" w:lineRule="auto"/>
        <w:ind w:firstLine="630" w:firstLineChars="196"/>
        <w:rPr>
          <w:rFonts w:ascii="仿宋_GB2312" w:hAnsi="仿宋" w:eastAsia="仿宋_GB2312" w:cs="Times New Roman"/>
          <w:sz w:val="32"/>
          <w:szCs w:val="28"/>
        </w:rPr>
      </w:pPr>
      <w:r>
        <w:rPr>
          <w:rFonts w:hint="eastAsia" w:ascii="仿宋_GB2312" w:hAnsi="仿宋" w:eastAsia="仿宋_GB2312" w:cs="仿宋_GB2312"/>
          <w:b/>
          <w:bCs/>
          <w:sz w:val="32"/>
          <w:szCs w:val="28"/>
        </w:rPr>
        <w:t xml:space="preserve">第九条  </w:t>
      </w:r>
      <w:r>
        <w:rPr>
          <w:rFonts w:hint="eastAsia" w:ascii="仿宋_GB2312" w:hAnsi="仿宋" w:eastAsia="仿宋_GB2312" w:cs="仿宋_GB2312"/>
          <w:sz w:val="32"/>
          <w:szCs w:val="28"/>
        </w:rPr>
        <w:t>学生活动经费的使用应按照学校内部控制制度管理要求履行审批手续，物资（用品）采购、合同管理、经费报销等流程应符合学校财务管理、资产管理和内部控制的要求，做到权责清晰、程序规范、手续齐备、记录齐全。</w:t>
      </w:r>
    </w:p>
    <w:p>
      <w:pPr>
        <w:spacing w:line="360" w:lineRule="auto"/>
        <w:ind w:firstLine="643" w:firstLineChars="200"/>
        <w:rPr>
          <w:rFonts w:ascii="仿宋_GB2312" w:hAnsi="Calibri" w:eastAsia="仿宋_GB2312" w:cs="Times New Roman"/>
          <w:sz w:val="32"/>
          <w:szCs w:val="28"/>
        </w:rPr>
      </w:pPr>
      <w:r>
        <w:rPr>
          <w:rFonts w:hint="eastAsia" w:ascii="仿宋_GB2312" w:hAnsi="仿宋" w:eastAsia="仿宋_GB2312" w:cs="仿宋_GB2312"/>
          <w:b/>
          <w:bCs/>
          <w:sz w:val="32"/>
          <w:szCs w:val="28"/>
        </w:rPr>
        <w:t xml:space="preserve">第十条  </w:t>
      </w:r>
      <w:r>
        <w:rPr>
          <w:rFonts w:hint="eastAsia" w:ascii="仿宋_GB2312" w:hAnsi="仿宋" w:eastAsia="仿宋_GB2312" w:cs="仿宋_GB2312"/>
          <w:sz w:val="32"/>
          <w:szCs w:val="28"/>
        </w:rPr>
        <w:t>学生活动经费主要用于在校学生的思想政治教育（含</w:t>
      </w:r>
      <w:r>
        <w:rPr>
          <w:rFonts w:hint="eastAsia" w:ascii="仿宋_GB2312" w:hAnsi="Calibri" w:eastAsia="仿宋_GB2312" w:cs="仿宋_GB2312"/>
          <w:sz w:val="32"/>
          <w:szCs w:val="28"/>
        </w:rPr>
        <w:t>日常行为培养、校纪校规、安全文明、心理健康、国防教育等</w:t>
      </w:r>
      <w:r>
        <w:rPr>
          <w:rFonts w:hint="eastAsia" w:ascii="仿宋_GB2312" w:hAnsi="仿宋" w:eastAsia="仿宋_GB2312" w:cs="仿宋_GB2312"/>
          <w:sz w:val="32"/>
          <w:szCs w:val="28"/>
        </w:rPr>
        <w:t>）、文体活动、社会实践、志愿服务、团学组织建设,以及与专业实习、毕业设计（论文）、课程设计、实践教学等与人才培养密切相关的学生活动支出。支出范围主要包括：（</w:t>
      </w:r>
      <w:r>
        <w:rPr>
          <w:rFonts w:ascii="仿宋_GB2312" w:hAnsi="仿宋" w:eastAsia="仿宋_GB2312" w:cs="仿宋_GB2312"/>
          <w:sz w:val="32"/>
          <w:szCs w:val="28"/>
        </w:rPr>
        <w:t>1</w:t>
      </w:r>
      <w:r>
        <w:rPr>
          <w:rFonts w:hint="eastAsia" w:ascii="仿宋_GB2312" w:hAnsi="仿宋" w:eastAsia="仿宋_GB2312" w:cs="仿宋_GB2312"/>
          <w:sz w:val="32"/>
          <w:szCs w:val="28"/>
        </w:rPr>
        <w:t>）宣传费用；（</w:t>
      </w:r>
      <w:r>
        <w:rPr>
          <w:rFonts w:ascii="仿宋_GB2312" w:hAnsi="仿宋" w:eastAsia="仿宋_GB2312" w:cs="仿宋_GB2312"/>
          <w:sz w:val="32"/>
          <w:szCs w:val="28"/>
        </w:rPr>
        <w:t>2</w:t>
      </w:r>
      <w:r>
        <w:rPr>
          <w:rFonts w:hint="eastAsia" w:ascii="仿宋_GB2312" w:hAnsi="仿宋" w:eastAsia="仿宋_GB2312" w:cs="仿宋_GB2312"/>
          <w:sz w:val="32"/>
          <w:szCs w:val="28"/>
        </w:rPr>
        <w:t>）活动物资（用品）采购费用；（</w:t>
      </w:r>
      <w:r>
        <w:rPr>
          <w:rFonts w:ascii="仿宋_GB2312" w:hAnsi="仿宋" w:eastAsia="仿宋_GB2312" w:cs="仿宋_GB2312"/>
          <w:sz w:val="32"/>
          <w:szCs w:val="28"/>
        </w:rPr>
        <w:t>3</w:t>
      </w:r>
      <w:r>
        <w:rPr>
          <w:rFonts w:hint="eastAsia" w:ascii="仿宋_GB2312" w:hAnsi="仿宋" w:eastAsia="仿宋_GB2312" w:cs="仿宋_GB2312"/>
          <w:sz w:val="32"/>
          <w:szCs w:val="28"/>
        </w:rPr>
        <w:t>）活动必需的临时性设备设施租赁费用；（</w:t>
      </w:r>
      <w:r>
        <w:rPr>
          <w:rFonts w:ascii="仿宋_GB2312" w:hAnsi="仿宋" w:eastAsia="仿宋_GB2312" w:cs="仿宋_GB2312"/>
          <w:sz w:val="32"/>
          <w:szCs w:val="28"/>
        </w:rPr>
        <w:t>4</w:t>
      </w:r>
      <w:r>
        <w:rPr>
          <w:rFonts w:hint="eastAsia" w:ascii="仿宋_GB2312" w:hAnsi="仿宋" w:eastAsia="仿宋_GB2312" w:cs="仿宋_GB2312"/>
          <w:sz w:val="32"/>
          <w:szCs w:val="28"/>
        </w:rPr>
        <w:t>）奖品奖励费用；（</w:t>
      </w:r>
      <w:r>
        <w:rPr>
          <w:rFonts w:ascii="仿宋_GB2312" w:hAnsi="仿宋" w:eastAsia="仿宋_GB2312" w:cs="仿宋_GB2312"/>
          <w:sz w:val="32"/>
          <w:szCs w:val="28"/>
        </w:rPr>
        <w:t>5</w:t>
      </w:r>
      <w:r>
        <w:rPr>
          <w:rFonts w:hint="eastAsia" w:ascii="仿宋_GB2312" w:hAnsi="仿宋" w:eastAsia="仿宋_GB2312" w:cs="仿宋_GB2312"/>
          <w:sz w:val="32"/>
          <w:szCs w:val="28"/>
        </w:rPr>
        <w:t>）安全保障费用；（</w:t>
      </w:r>
      <w:r>
        <w:rPr>
          <w:rFonts w:ascii="仿宋_GB2312" w:hAnsi="仿宋" w:eastAsia="仿宋_GB2312" w:cs="仿宋_GB2312"/>
          <w:sz w:val="32"/>
          <w:szCs w:val="28"/>
        </w:rPr>
        <w:t>6</w:t>
      </w:r>
      <w:r>
        <w:rPr>
          <w:rFonts w:hint="eastAsia" w:ascii="仿宋_GB2312" w:hAnsi="仿宋" w:eastAsia="仿宋_GB2312" w:cs="仿宋_GB2312"/>
          <w:sz w:val="32"/>
          <w:szCs w:val="28"/>
        </w:rPr>
        <w:t>）交通费用；（</w:t>
      </w:r>
      <w:r>
        <w:rPr>
          <w:rFonts w:ascii="仿宋_GB2312" w:hAnsi="仿宋" w:eastAsia="仿宋_GB2312" w:cs="仿宋_GB2312"/>
          <w:sz w:val="32"/>
          <w:szCs w:val="28"/>
        </w:rPr>
        <w:t>7</w:t>
      </w:r>
      <w:r>
        <w:rPr>
          <w:rFonts w:hint="eastAsia" w:ascii="仿宋_GB2312" w:hAnsi="仿宋" w:eastAsia="仿宋_GB2312" w:cs="仿宋_GB2312"/>
          <w:sz w:val="32"/>
          <w:szCs w:val="28"/>
        </w:rPr>
        <w:t>）</w:t>
      </w:r>
      <w:r>
        <w:rPr>
          <w:rFonts w:hint="eastAsia" w:ascii="仿宋_GB2312" w:hAnsi="Calibri" w:eastAsia="仿宋_GB2312" w:cs="仿宋_GB2312"/>
          <w:sz w:val="32"/>
          <w:szCs w:val="28"/>
        </w:rPr>
        <w:t>车辆租赁费用；（</w:t>
      </w:r>
      <w:r>
        <w:rPr>
          <w:rFonts w:ascii="仿宋_GB2312" w:hAnsi="Calibri" w:eastAsia="仿宋_GB2312" w:cs="仿宋_GB2312"/>
          <w:sz w:val="32"/>
          <w:szCs w:val="28"/>
        </w:rPr>
        <w:t>8</w:t>
      </w:r>
      <w:r>
        <w:rPr>
          <w:rFonts w:hint="eastAsia" w:ascii="仿宋_GB2312" w:hAnsi="Calibri" w:eastAsia="仿宋_GB2312" w:cs="仿宋_GB2312"/>
          <w:sz w:val="32"/>
          <w:szCs w:val="28"/>
        </w:rPr>
        <w:t>）</w:t>
      </w:r>
      <w:r>
        <w:rPr>
          <w:rFonts w:hint="eastAsia" w:ascii="仿宋_GB2312" w:hAnsi="仿宋" w:eastAsia="仿宋_GB2312" w:cs="仿宋_GB2312"/>
          <w:sz w:val="32"/>
          <w:szCs w:val="28"/>
        </w:rPr>
        <w:t>外聘人员劳务费用；（</w:t>
      </w:r>
      <w:r>
        <w:rPr>
          <w:rFonts w:ascii="仿宋_GB2312" w:hAnsi="仿宋" w:eastAsia="仿宋_GB2312" w:cs="仿宋_GB2312"/>
          <w:sz w:val="32"/>
          <w:szCs w:val="28"/>
        </w:rPr>
        <w:t>9</w:t>
      </w:r>
      <w:r>
        <w:rPr>
          <w:rFonts w:hint="eastAsia" w:ascii="仿宋_GB2312" w:hAnsi="仿宋" w:eastAsia="仿宋_GB2312" w:cs="仿宋_GB2312"/>
          <w:sz w:val="32"/>
          <w:szCs w:val="28"/>
        </w:rPr>
        <w:t>）工作餐费；（</w:t>
      </w:r>
      <w:r>
        <w:rPr>
          <w:rFonts w:ascii="仿宋_GB2312" w:hAnsi="仿宋" w:eastAsia="仿宋_GB2312" w:cs="仿宋_GB2312"/>
          <w:sz w:val="32"/>
          <w:szCs w:val="28"/>
        </w:rPr>
        <w:t>10</w:t>
      </w:r>
      <w:r>
        <w:rPr>
          <w:rFonts w:hint="eastAsia" w:ascii="仿宋_GB2312" w:hAnsi="仿宋" w:eastAsia="仿宋_GB2312" w:cs="仿宋_GB2312"/>
          <w:sz w:val="32"/>
          <w:szCs w:val="28"/>
        </w:rPr>
        <w:t>）京外社会实践差旅费；（</w:t>
      </w:r>
      <w:r>
        <w:rPr>
          <w:rFonts w:ascii="仿宋_GB2312" w:hAnsi="仿宋" w:eastAsia="仿宋_GB2312" w:cs="仿宋_GB2312"/>
          <w:sz w:val="32"/>
          <w:szCs w:val="28"/>
        </w:rPr>
        <w:t>11</w:t>
      </w:r>
      <w:r>
        <w:rPr>
          <w:rFonts w:hint="eastAsia" w:ascii="仿宋_GB2312" w:hAnsi="仿宋" w:eastAsia="仿宋_GB2312" w:cs="仿宋_GB2312"/>
          <w:sz w:val="32"/>
          <w:szCs w:val="28"/>
        </w:rPr>
        <w:t>）其他活动必须的费用等。</w:t>
      </w:r>
    </w:p>
    <w:p>
      <w:pPr>
        <w:spacing w:line="360" w:lineRule="auto"/>
        <w:ind w:firstLine="640" w:firstLineChars="200"/>
        <w:rPr>
          <w:rFonts w:ascii="仿宋_GB2312" w:hAnsi="Calibri" w:eastAsia="仿宋_GB2312" w:cs="Times New Roman"/>
          <w:sz w:val="32"/>
          <w:szCs w:val="28"/>
        </w:rPr>
      </w:pPr>
      <w:r>
        <w:rPr>
          <w:rFonts w:hint="eastAsia" w:ascii="仿宋_GB2312" w:hAnsi="Calibri" w:eastAsia="仿宋_GB2312" w:cs="仿宋_GB2312"/>
          <w:sz w:val="32"/>
          <w:szCs w:val="28"/>
        </w:rPr>
        <w:t>学生活动经费不得用于：（</w:t>
      </w:r>
      <w:r>
        <w:rPr>
          <w:rFonts w:ascii="仿宋_GB2312" w:hAnsi="Calibri" w:eastAsia="仿宋_GB2312" w:cs="仿宋_GB2312"/>
          <w:sz w:val="32"/>
          <w:szCs w:val="28"/>
        </w:rPr>
        <w:t>1</w:t>
      </w:r>
      <w:r>
        <w:rPr>
          <w:rFonts w:hint="eastAsia" w:ascii="仿宋_GB2312" w:hAnsi="Calibri" w:eastAsia="仿宋_GB2312" w:cs="仿宋_GB2312"/>
          <w:sz w:val="32"/>
          <w:szCs w:val="28"/>
        </w:rPr>
        <w:t>）在职教师的支出；（</w:t>
      </w:r>
      <w:r>
        <w:rPr>
          <w:rFonts w:ascii="仿宋_GB2312" w:hAnsi="Calibri" w:eastAsia="仿宋_GB2312" w:cs="仿宋_GB2312"/>
          <w:sz w:val="32"/>
          <w:szCs w:val="28"/>
        </w:rPr>
        <w:t>2</w:t>
      </w:r>
      <w:r>
        <w:rPr>
          <w:rFonts w:hint="eastAsia" w:ascii="仿宋_GB2312" w:hAnsi="Calibri" w:eastAsia="仿宋_GB2312" w:cs="仿宋_GB2312"/>
          <w:sz w:val="32"/>
          <w:szCs w:val="28"/>
        </w:rPr>
        <w:t>）各类接待宴请、礼品、旅游性考察等支出；（</w:t>
      </w:r>
      <w:r>
        <w:rPr>
          <w:rFonts w:ascii="仿宋_GB2312" w:hAnsi="Calibri" w:eastAsia="仿宋_GB2312" w:cs="仿宋_GB2312"/>
          <w:sz w:val="32"/>
          <w:szCs w:val="28"/>
        </w:rPr>
        <w:t>3</w:t>
      </w:r>
      <w:r>
        <w:rPr>
          <w:rFonts w:hint="eastAsia" w:ascii="仿宋_GB2312" w:hAnsi="Calibri" w:eastAsia="仿宋_GB2312" w:cs="仿宋_GB2312"/>
          <w:sz w:val="32"/>
          <w:szCs w:val="28"/>
        </w:rPr>
        <w:t>）以现金形式发放给学生的奖金、补贴、补助等支出（劳务费除外）；（</w:t>
      </w:r>
      <w:r>
        <w:rPr>
          <w:rFonts w:ascii="仿宋_GB2312" w:hAnsi="Calibri" w:eastAsia="仿宋_GB2312" w:cs="仿宋_GB2312"/>
          <w:sz w:val="32"/>
          <w:szCs w:val="28"/>
        </w:rPr>
        <w:t>4</w:t>
      </w:r>
      <w:r>
        <w:rPr>
          <w:rFonts w:hint="eastAsia" w:ascii="仿宋_GB2312" w:hAnsi="Calibri" w:eastAsia="仿宋_GB2312" w:cs="仿宋_GB2312"/>
          <w:sz w:val="32"/>
          <w:szCs w:val="28"/>
        </w:rPr>
        <w:t>）与学生活动无关的其他支出。</w:t>
      </w:r>
    </w:p>
    <w:p>
      <w:pPr>
        <w:spacing w:line="360" w:lineRule="auto"/>
        <w:ind w:firstLine="630" w:firstLineChars="196"/>
        <w:rPr>
          <w:rFonts w:ascii="仿宋_GB2312" w:hAnsi="仿宋" w:eastAsia="仿宋_GB2312" w:cs="Times New Roman"/>
          <w:sz w:val="32"/>
          <w:szCs w:val="28"/>
        </w:rPr>
      </w:pPr>
      <w:r>
        <w:rPr>
          <w:rFonts w:hint="eastAsia" w:ascii="仿宋_GB2312" w:hAnsi="仿宋" w:eastAsia="仿宋_GB2312" w:cs="仿宋_GB2312"/>
          <w:b/>
          <w:bCs/>
          <w:sz w:val="32"/>
          <w:szCs w:val="28"/>
        </w:rPr>
        <w:t xml:space="preserve">第十一条  </w:t>
      </w:r>
      <w:r>
        <w:rPr>
          <w:rFonts w:hint="eastAsia" w:ascii="仿宋_GB2312" w:hAnsi="仿宋" w:eastAsia="仿宋_GB2312" w:cs="仿宋_GB2312"/>
          <w:sz w:val="32"/>
          <w:szCs w:val="28"/>
        </w:rPr>
        <w:t>学生活动奖品支出应从严掌握，获奖学生人数不得超过参加活动人数的三分之一，单人最高奖项奖品额度不得超过5</w:t>
      </w:r>
      <w:r>
        <w:rPr>
          <w:rFonts w:ascii="仿宋_GB2312" w:hAnsi="仿宋" w:eastAsia="仿宋_GB2312" w:cs="仿宋_GB2312"/>
          <w:sz w:val="32"/>
          <w:szCs w:val="28"/>
        </w:rPr>
        <w:t>00</w:t>
      </w:r>
      <w:r>
        <w:rPr>
          <w:rFonts w:hint="eastAsia" w:ascii="仿宋_GB2312" w:hAnsi="仿宋" w:eastAsia="仿宋_GB2312" w:cs="仿宋_GB2312"/>
          <w:sz w:val="32"/>
          <w:szCs w:val="28"/>
        </w:rPr>
        <w:t>元，奖品种类应与学生的学习成长相关，不得向全体参与活动的学生发放纪念品。发放学生奖品时，应由领取人在《北方工业大学学生评奖评优活动奖品领取表》（</w:t>
      </w:r>
      <w:r>
        <w:rPr>
          <w:rFonts w:hint="eastAsia" w:ascii="仿宋_GB2312" w:hAnsi="Calibri" w:eastAsia="仿宋_GB2312" w:cs="仿宋_GB2312"/>
          <w:sz w:val="32"/>
          <w:szCs w:val="28"/>
        </w:rPr>
        <w:t>从财务处网站下载</w:t>
      </w:r>
      <w:r>
        <w:rPr>
          <w:rFonts w:hint="eastAsia" w:ascii="仿宋_GB2312" w:hAnsi="仿宋" w:eastAsia="仿宋_GB2312" w:cs="仿宋_GB2312"/>
          <w:sz w:val="32"/>
          <w:szCs w:val="28"/>
        </w:rPr>
        <w:t>）上签字，作为财务报销的凭证之一。</w:t>
      </w:r>
    </w:p>
    <w:p>
      <w:pPr>
        <w:spacing w:line="360" w:lineRule="auto"/>
        <w:ind w:firstLine="630" w:firstLineChars="196"/>
        <w:rPr>
          <w:rFonts w:ascii="仿宋_GB2312" w:hAnsi="仿宋" w:eastAsia="仿宋_GB2312" w:cs="Times New Roman"/>
          <w:sz w:val="32"/>
          <w:szCs w:val="28"/>
        </w:rPr>
      </w:pPr>
      <w:r>
        <w:rPr>
          <w:rFonts w:hint="eastAsia" w:ascii="仿宋_GB2312" w:hAnsi="仿宋" w:eastAsia="仿宋_GB2312" w:cs="仿宋_GB2312"/>
          <w:b/>
          <w:bCs/>
          <w:sz w:val="32"/>
          <w:szCs w:val="28"/>
        </w:rPr>
        <w:t xml:space="preserve">第十二条  </w:t>
      </w:r>
      <w:r>
        <w:rPr>
          <w:rFonts w:hint="eastAsia" w:ascii="仿宋_GB2312" w:hAnsi="仿宋" w:eastAsia="仿宋_GB2312" w:cs="仿宋_GB2312"/>
          <w:sz w:val="32"/>
          <w:szCs w:val="28"/>
        </w:rPr>
        <w:t>严格控制利用学生活动经费开支餐费、食品等。确</w:t>
      </w:r>
      <w:r>
        <w:rPr>
          <w:rFonts w:hint="eastAsia" w:ascii="仿宋_GB2312" w:hAnsi="Calibri" w:eastAsia="仿宋_GB2312" w:cs="仿宋_GB2312"/>
          <w:sz w:val="32"/>
          <w:szCs w:val="28"/>
        </w:rPr>
        <w:t>因特殊原因不能按时就餐而发生的工作餐标准按每人次不超过5</w:t>
      </w:r>
      <w:r>
        <w:rPr>
          <w:rFonts w:ascii="仿宋_GB2312" w:hAnsi="Calibri" w:eastAsia="仿宋_GB2312" w:cs="仿宋_GB2312"/>
          <w:sz w:val="32"/>
          <w:szCs w:val="28"/>
        </w:rPr>
        <w:t>0</w:t>
      </w:r>
      <w:r>
        <w:rPr>
          <w:rFonts w:hint="eastAsia" w:ascii="仿宋_GB2312" w:hAnsi="Calibri" w:eastAsia="仿宋_GB2312" w:cs="仿宋_GB2312"/>
          <w:sz w:val="32"/>
          <w:szCs w:val="28"/>
        </w:rPr>
        <w:t>元执行，经费使用单位需填制《北方工业大学工作餐费支出审批表》（从财务处网站下载），注明事由及用餐人数。用餐</w:t>
      </w:r>
      <w:r>
        <w:rPr>
          <w:rFonts w:hint="eastAsia" w:ascii="仿宋_GB2312" w:hAnsi="仿宋" w:eastAsia="仿宋_GB2312" w:cs="仿宋_GB2312"/>
          <w:sz w:val="32"/>
          <w:szCs w:val="28"/>
        </w:rPr>
        <w:t>人员名单由</w:t>
      </w:r>
      <w:r>
        <w:rPr>
          <w:rFonts w:hint="eastAsia" w:ascii="仿宋_GB2312" w:hAnsi="Calibri" w:eastAsia="仿宋_GB2312" w:cs="仿宋_GB2312"/>
          <w:sz w:val="32"/>
          <w:szCs w:val="28"/>
        </w:rPr>
        <w:t>经费使用单位自行存案备查并负责解释。</w:t>
      </w:r>
      <w:r>
        <w:rPr>
          <w:rFonts w:hint="eastAsia" w:ascii="仿宋_GB2312" w:hAnsi="仿宋" w:eastAsia="仿宋_GB2312" w:cs="仿宋_GB2312"/>
          <w:sz w:val="32"/>
          <w:szCs w:val="28"/>
        </w:rPr>
        <w:t>食品开支必须附</w:t>
      </w:r>
      <w:r>
        <w:rPr>
          <w:rFonts w:hint="eastAsia" w:ascii="仿宋_GB2312" w:hAnsi="Calibri" w:eastAsia="仿宋_GB2312" w:cs="仿宋_GB2312"/>
          <w:sz w:val="32"/>
          <w:szCs w:val="28"/>
        </w:rPr>
        <w:t>活动（事项）</w:t>
      </w:r>
      <w:r>
        <w:rPr>
          <w:rFonts w:hint="eastAsia" w:ascii="仿宋_GB2312" w:hAnsi="仿宋" w:eastAsia="仿宋_GB2312" w:cs="仿宋_GB2312"/>
          <w:sz w:val="32"/>
          <w:szCs w:val="28"/>
        </w:rPr>
        <w:t>说明和采购清单。</w:t>
      </w:r>
    </w:p>
    <w:p>
      <w:pPr>
        <w:spacing w:line="360" w:lineRule="auto"/>
        <w:ind w:firstLine="630" w:firstLineChars="196"/>
        <w:rPr>
          <w:rFonts w:ascii="仿宋_GB2312" w:hAnsi="仿宋" w:eastAsia="仿宋_GB2312" w:cs="Times New Roman"/>
          <w:sz w:val="32"/>
          <w:szCs w:val="28"/>
        </w:rPr>
      </w:pPr>
      <w:r>
        <w:rPr>
          <w:rFonts w:hint="eastAsia" w:ascii="仿宋_GB2312" w:hAnsi="仿宋" w:eastAsia="仿宋_GB2312" w:cs="仿宋_GB2312"/>
          <w:b/>
          <w:bCs/>
          <w:sz w:val="32"/>
          <w:szCs w:val="28"/>
        </w:rPr>
        <w:t xml:space="preserve">第十三条  </w:t>
      </w:r>
      <w:r>
        <w:rPr>
          <w:rFonts w:hint="eastAsia" w:ascii="仿宋_GB2312" w:hAnsi="仿宋" w:eastAsia="仿宋_GB2312" w:cs="仿宋_GB2312"/>
          <w:sz w:val="32"/>
          <w:szCs w:val="28"/>
        </w:rPr>
        <w:t>学生活动的物品采购应按学校物资采购的相关规定执行。应当进行政府采购或招投标的，要严格按照采购程序执行；未达到招投标要求的，应由相关单位组织三人采购小组进行采购，3万元及以上50万元以下的采购应按照《北方工业大学学生活动大额物资或服务采购管理办法》（团联发〔2021〕1号）执行。所有采购应由教职工进行，不得让学生垫资采购。</w:t>
      </w:r>
    </w:p>
    <w:p>
      <w:pPr>
        <w:spacing w:line="360" w:lineRule="auto"/>
        <w:ind w:firstLine="630" w:firstLineChars="196"/>
        <w:rPr>
          <w:rFonts w:ascii="仿宋_GB2312" w:hAnsi="仿宋" w:eastAsia="仿宋_GB2312" w:cs="Times New Roman"/>
          <w:sz w:val="32"/>
          <w:szCs w:val="28"/>
        </w:rPr>
      </w:pPr>
      <w:r>
        <w:rPr>
          <w:rFonts w:hint="eastAsia" w:ascii="仿宋_GB2312" w:hAnsi="仿宋" w:eastAsia="仿宋_GB2312" w:cs="仿宋_GB2312"/>
          <w:b/>
          <w:bCs/>
          <w:sz w:val="32"/>
          <w:szCs w:val="28"/>
        </w:rPr>
        <w:t xml:space="preserve">第十四条  </w:t>
      </w:r>
      <w:r>
        <w:rPr>
          <w:rFonts w:hint="eastAsia" w:ascii="仿宋_GB2312" w:hAnsi="仿宋" w:eastAsia="仿宋_GB2312" w:cs="仿宋_GB2312"/>
          <w:sz w:val="32"/>
          <w:szCs w:val="28"/>
        </w:rPr>
        <w:t>所有物品采购均需填写《北方工业大学学生活动物品采购、验收及领用登记表》（附件），做好物品采购、验收和领用登记工作。</w:t>
      </w:r>
    </w:p>
    <w:p>
      <w:pPr>
        <w:spacing w:line="360" w:lineRule="auto"/>
        <w:ind w:firstLine="630" w:firstLineChars="196"/>
        <w:rPr>
          <w:rFonts w:ascii="仿宋_GB2312" w:hAnsi="仿宋" w:eastAsia="仿宋_GB2312" w:cs="仿宋_GB2312"/>
          <w:sz w:val="32"/>
          <w:szCs w:val="28"/>
        </w:rPr>
      </w:pPr>
      <w:r>
        <w:rPr>
          <w:rFonts w:hint="eastAsia" w:ascii="仿宋_GB2312" w:hAnsi="仿宋" w:eastAsia="仿宋_GB2312" w:cs="仿宋_GB2312"/>
          <w:b/>
          <w:bCs/>
          <w:sz w:val="32"/>
          <w:szCs w:val="28"/>
        </w:rPr>
        <w:t xml:space="preserve">第十五条  </w:t>
      </w:r>
      <w:r>
        <w:rPr>
          <w:rFonts w:hint="eastAsia" w:ascii="仿宋_GB2312" w:hAnsi="仿宋" w:eastAsia="仿宋_GB2312" w:cs="仿宋_GB2312"/>
          <w:sz w:val="32"/>
          <w:szCs w:val="28"/>
        </w:rPr>
        <w:t>学生活动物品采购，要据实开具发票，不得以其他发票替代购买物品的发票。如供货商发票确实不能开具具体物品名称的，应同时提供供货商单位盖章的物品明细清单。</w:t>
      </w:r>
    </w:p>
    <w:p>
      <w:pPr>
        <w:spacing w:line="360" w:lineRule="auto"/>
        <w:ind w:firstLine="630" w:firstLineChars="196"/>
        <w:rPr>
          <w:rFonts w:ascii="仿宋_GB2312" w:hAnsi="仿宋" w:eastAsia="仿宋_GB2312" w:cs="Times New Roman"/>
          <w:sz w:val="32"/>
          <w:szCs w:val="28"/>
        </w:rPr>
      </w:pPr>
      <w:r>
        <w:rPr>
          <w:rFonts w:hint="eastAsia" w:ascii="仿宋_GB2312" w:hAnsi="仿宋" w:eastAsia="仿宋_GB2312" w:cs="仿宋_GB2312"/>
          <w:b/>
          <w:bCs/>
          <w:sz w:val="32"/>
          <w:szCs w:val="28"/>
        </w:rPr>
        <w:t xml:space="preserve">第十六条  </w:t>
      </w:r>
      <w:r>
        <w:rPr>
          <w:rFonts w:hint="eastAsia" w:ascii="仿宋_GB2312" w:hAnsi="仿宋" w:eastAsia="仿宋_GB2312" w:cs="仿宋_GB2312"/>
          <w:sz w:val="32"/>
          <w:szCs w:val="28"/>
        </w:rPr>
        <w:t>学生活动经费预算内有向在校学生、校外人员发放劳务费的，须经本单位领导班子会议集体研究同意。向校外人员发放讲课费、专家咨询费等，须符合国家有关规定。各学院管理的学生活动经费原则上不得向在校学生发放劳务费。</w:t>
      </w:r>
    </w:p>
    <w:p>
      <w:pPr>
        <w:spacing w:line="360" w:lineRule="auto"/>
        <w:ind w:firstLine="630" w:firstLineChars="196"/>
        <w:rPr>
          <w:rFonts w:ascii="仿宋_GB2312" w:hAnsi="仿宋" w:eastAsia="仿宋_GB2312" w:cs="Times New Roman"/>
          <w:sz w:val="32"/>
          <w:szCs w:val="28"/>
        </w:rPr>
      </w:pPr>
      <w:r>
        <w:rPr>
          <w:rFonts w:hint="eastAsia" w:ascii="仿宋_GB2312" w:hAnsi="仿宋" w:eastAsia="仿宋_GB2312" w:cs="仿宋_GB2312"/>
          <w:b/>
          <w:bCs/>
          <w:sz w:val="32"/>
          <w:szCs w:val="28"/>
        </w:rPr>
        <w:t xml:space="preserve">第十七条  </w:t>
      </w:r>
      <w:r>
        <w:rPr>
          <w:rFonts w:hint="eastAsia" w:ascii="仿宋_GB2312" w:hAnsi="仿宋" w:eastAsia="仿宋_GB2312" w:cs="仿宋_GB2312"/>
          <w:sz w:val="32"/>
          <w:szCs w:val="28"/>
        </w:rPr>
        <w:t>学生活动经费的审批权限：学生工作部（处）管理的学生活动经费由学生工作部（处）长签批；研究生工作部管理的学生活动经费由研究生工作部长签批；校团委管理的学生活动经费由校团委书记签批；各学院管理的学生活动经费由学院院长签批。特殊情况下，可由上述负责人授权本单位其他处级干部签批。</w:t>
      </w:r>
    </w:p>
    <w:p>
      <w:pPr>
        <w:spacing w:line="360" w:lineRule="auto"/>
        <w:ind w:firstLine="643" w:firstLineChars="200"/>
        <w:rPr>
          <w:rFonts w:ascii="仿宋_GB2312" w:hAnsi="Calibri" w:eastAsia="仿宋_GB2312" w:cs="Times New Roman"/>
          <w:sz w:val="32"/>
          <w:szCs w:val="28"/>
        </w:rPr>
      </w:pPr>
      <w:r>
        <w:rPr>
          <w:rFonts w:hint="eastAsia" w:ascii="仿宋_GB2312" w:hAnsi="仿宋" w:eastAsia="仿宋_GB2312" w:cs="仿宋_GB2312"/>
          <w:b/>
          <w:bCs/>
          <w:sz w:val="32"/>
          <w:szCs w:val="28"/>
        </w:rPr>
        <w:t xml:space="preserve">第十八条  </w:t>
      </w:r>
      <w:r>
        <w:rPr>
          <w:rFonts w:hint="eastAsia" w:ascii="仿宋_GB2312" w:hAnsi="Calibri" w:eastAsia="仿宋_GB2312" w:cs="仿宋_GB2312"/>
          <w:sz w:val="32"/>
          <w:szCs w:val="28"/>
        </w:rPr>
        <w:t>学生活动经费报销的具体规定：</w:t>
      </w:r>
    </w:p>
    <w:p>
      <w:pPr>
        <w:spacing w:line="360" w:lineRule="auto"/>
        <w:ind w:firstLine="640" w:firstLineChars="200"/>
        <w:rPr>
          <w:rFonts w:ascii="仿宋_GB2312" w:hAnsi="Calibri" w:eastAsia="仿宋_GB2312" w:cs="Times New Roman"/>
          <w:sz w:val="32"/>
          <w:szCs w:val="28"/>
        </w:rPr>
      </w:pPr>
      <w:r>
        <w:rPr>
          <w:rFonts w:hint="eastAsia" w:ascii="仿宋_GB2312" w:hAnsi="Calibri" w:eastAsia="仿宋_GB2312" w:cs="仿宋_GB2312"/>
          <w:sz w:val="32"/>
          <w:szCs w:val="28"/>
        </w:rPr>
        <w:t>（一）学生活动经费报销时，应填制《北方工业大学财务核算往来业务汇总表》，在相关处注明支出项目的相关说明，由经手人、制单人签字，履行规定的审批手续后，方可办理报销手续。通过网上报销的，按照网上报销的有关要求办理。</w:t>
      </w:r>
    </w:p>
    <w:p>
      <w:pPr>
        <w:spacing w:line="360" w:lineRule="auto"/>
        <w:ind w:firstLine="627" w:firstLineChars="196"/>
        <w:rPr>
          <w:rFonts w:ascii="仿宋_GB2312" w:hAnsi="Calibri" w:eastAsia="仿宋_GB2312" w:cs="仿宋_GB2312"/>
          <w:sz w:val="32"/>
          <w:szCs w:val="28"/>
        </w:rPr>
      </w:pPr>
      <w:r>
        <w:rPr>
          <w:rFonts w:hint="eastAsia" w:ascii="仿宋_GB2312" w:hAnsi="Calibri" w:eastAsia="仿宋_GB2312" w:cs="仿宋_GB2312"/>
          <w:sz w:val="32"/>
          <w:szCs w:val="28"/>
        </w:rPr>
        <w:t>（二）学生活动经费的支出应使用公务卡、转账、支票等方式进行结算，未经批准不得使用现金进行结算。</w:t>
      </w:r>
    </w:p>
    <w:p>
      <w:pPr>
        <w:spacing w:line="360" w:lineRule="auto"/>
        <w:ind w:firstLine="627" w:firstLineChars="196"/>
        <w:rPr>
          <w:rFonts w:ascii="仿宋_GB2312" w:hAnsi="Calibri" w:eastAsia="仿宋_GB2312" w:cs="仿宋_GB2312"/>
          <w:sz w:val="32"/>
          <w:szCs w:val="28"/>
        </w:rPr>
      </w:pPr>
      <w:r>
        <w:rPr>
          <w:rFonts w:hint="eastAsia" w:ascii="仿宋_GB2312" w:hAnsi="Calibri" w:eastAsia="仿宋_GB2312" w:cs="仿宋_GB2312"/>
          <w:sz w:val="32"/>
          <w:szCs w:val="28"/>
        </w:rPr>
        <w:t>使用公务卡结算的，报销时须提供公务卡消费交易凭条（</w:t>
      </w:r>
      <w:r>
        <w:rPr>
          <w:rFonts w:ascii="仿宋_GB2312" w:hAnsi="Calibri" w:eastAsia="仿宋_GB2312" w:cs="仿宋_GB2312"/>
          <w:sz w:val="32"/>
          <w:szCs w:val="28"/>
        </w:rPr>
        <w:t>POS</w:t>
      </w:r>
      <w:r>
        <w:rPr>
          <w:rFonts w:hint="eastAsia" w:ascii="仿宋_GB2312" w:hAnsi="Calibri" w:eastAsia="仿宋_GB2312" w:cs="仿宋_GB2312"/>
          <w:sz w:val="32"/>
          <w:szCs w:val="28"/>
        </w:rPr>
        <w:t>机小票）或公务卡账单明细（下同）。</w:t>
      </w:r>
    </w:p>
    <w:p>
      <w:pPr>
        <w:spacing w:line="360" w:lineRule="auto"/>
        <w:ind w:firstLine="627" w:firstLineChars="196"/>
        <w:rPr>
          <w:rFonts w:ascii="仿宋_GB2312" w:hAnsi="Calibri" w:eastAsia="仿宋_GB2312" w:cs="Times New Roman"/>
          <w:sz w:val="32"/>
          <w:szCs w:val="28"/>
        </w:rPr>
      </w:pPr>
      <w:r>
        <w:rPr>
          <w:rFonts w:hint="eastAsia" w:ascii="仿宋_GB2312" w:hAnsi="Calibri" w:eastAsia="仿宋_GB2312" w:cs="仿宋_GB2312"/>
          <w:sz w:val="32"/>
          <w:szCs w:val="28"/>
        </w:rPr>
        <w:t>（三）学生活动经费原则上不得报销市内出租车费和网约专车费</w:t>
      </w:r>
      <w:r>
        <w:rPr>
          <w:rFonts w:hint="eastAsia" w:ascii="仿宋_GB2312" w:hAnsi="仿宋" w:eastAsia="仿宋_GB2312" w:cs="仿宋_GB2312"/>
          <w:sz w:val="32"/>
          <w:szCs w:val="28"/>
        </w:rPr>
        <w:t>。各使用单位组织开展活动必需发生的</w:t>
      </w:r>
      <w:r>
        <w:rPr>
          <w:rFonts w:hint="eastAsia" w:ascii="仿宋_GB2312" w:hAnsi="Calibri" w:eastAsia="仿宋_GB2312" w:cs="仿宋_GB2312"/>
          <w:sz w:val="32"/>
          <w:szCs w:val="28"/>
        </w:rPr>
        <w:t>市内出租车费和网约专车费等市内交通费用，应在各部门“交通费”科目中列支。特殊情况下，需事先报经归口管理部门批准，并从严管控。经费使用单位应在本部门建立健全市内出租车费和网约专车费的报销台账，登记发生时间、业务事由、具体地点、报销金额、经办人员等事项，接受上级单位和学校的检查监督。</w:t>
      </w:r>
    </w:p>
    <w:p>
      <w:pPr>
        <w:spacing w:line="360" w:lineRule="auto"/>
        <w:ind w:firstLine="627" w:firstLineChars="196"/>
        <w:rPr>
          <w:rFonts w:ascii="仿宋_GB2312" w:hAnsi="Calibri" w:eastAsia="仿宋_GB2312" w:cs="仿宋_GB2312"/>
          <w:sz w:val="32"/>
          <w:szCs w:val="28"/>
        </w:rPr>
      </w:pPr>
      <w:r>
        <w:rPr>
          <w:rFonts w:hint="eastAsia" w:ascii="仿宋_GB2312" w:hAnsi="Calibri" w:eastAsia="仿宋_GB2312" w:cs="仿宋_GB2312"/>
          <w:sz w:val="32"/>
          <w:szCs w:val="28"/>
        </w:rPr>
        <w:t>（四）报销学生活动经费时，发票要有经手人、验收人背书签字，学生签字的样式应为“经手人（验收人）：班级</w:t>
      </w:r>
      <w:r>
        <w:rPr>
          <w:rFonts w:ascii="仿宋_GB2312" w:hAnsi="Calibri" w:eastAsia="仿宋_GB2312" w:cs="仿宋_GB2312"/>
          <w:sz w:val="32"/>
          <w:szCs w:val="28"/>
        </w:rPr>
        <w:t>+</w:t>
      </w:r>
      <w:r>
        <w:rPr>
          <w:rFonts w:hint="eastAsia" w:ascii="仿宋_GB2312" w:hAnsi="Calibri" w:eastAsia="仿宋_GB2312" w:cs="仿宋_GB2312"/>
          <w:sz w:val="32"/>
          <w:szCs w:val="28"/>
        </w:rPr>
        <w:t>姓名”。发票上须注明活动名称或物品用途，发票内容为“办公用品”、“宣传用品”、“体育用品”等笼统概念的，除注明活动名称或物品用途外，须提供同时提供具有开票单位公章的明细清单，履行规定的审批手续后，方可办理报销手续。</w:t>
      </w:r>
    </w:p>
    <w:p>
      <w:pPr>
        <w:spacing w:line="360" w:lineRule="auto"/>
        <w:ind w:firstLine="627" w:firstLineChars="196"/>
        <w:rPr>
          <w:rFonts w:ascii="仿宋_GB2312" w:hAnsi="Calibri" w:eastAsia="仿宋_GB2312" w:cs="仿宋_GB2312"/>
          <w:sz w:val="32"/>
          <w:szCs w:val="28"/>
        </w:rPr>
      </w:pPr>
      <w:r>
        <w:rPr>
          <w:rFonts w:hint="eastAsia" w:ascii="仿宋_GB2312" w:hAnsi="Calibri" w:eastAsia="仿宋_GB2312" w:cs="仿宋_GB2312"/>
          <w:sz w:val="32"/>
          <w:szCs w:val="28"/>
        </w:rPr>
        <w:t>（五）购买学生活动物品及文具等，报销时应同时提供《北方工业大学学生活动物品采购、验收及领用登记表》。</w:t>
      </w:r>
    </w:p>
    <w:p>
      <w:pPr>
        <w:spacing w:line="360" w:lineRule="auto"/>
        <w:ind w:firstLine="627" w:firstLineChars="196"/>
        <w:rPr>
          <w:rFonts w:ascii="仿宋_GB2312" w:hAnsi="Calibri" w:eastAsia="仿宋_GB2312" w:cs="仿宋_GB2312"/>
          <w:sz w:val="32"/>
          <w:szCs w:val="28"/>
        </w:rPr>
      </w:pPr>
      <w:r>
        <w:rPr>
          <w:rFonts w:hint="eastAsia" w:ascii="仿宋_GB2312" w:hAnsi="Calibri" w:eastAsia="仿宋_GB2312" w:cs="仿宋_GB2312"/>
          <w:sz w:val="32"/>
          <w:szCs w:val="28"/>
        </w:rPr>
        <w:t>（六）报销面向个人发放的活动奖品时，需同时提供《北方工业大学学生评奖评优活动奖品领取表》。</w:t>
      </w:r>
    </w:p>
    <w:p>
      <w:pPr>
        <w:spacing w:line="360" w:lineRule="auto"/>
        <w:ind w:firstLine="627" w:firstLineChars="196"/>
        <w:rPr>
          <w:rFonts w:ascii="仿宋_GB2312" w:hAnsi="仿宋" w:eastAsia="仿宋_GB2312" w:cs="Times New Roman"/>
          <w:sz w:val="32"/>
          <w:szCs w:val="28"/>
        </w:rPr>
      </w:pPr>
      <w:r>
        <w:rPr>
          <w:rFonts w:hint="eastAsia" w:ascii="仿宋_GB2312" w:hAnsi="仿宋" w:eastAsia="仿宋_GB2312" w:cs="仿宋_GB2312"/>
          <w:sz w:val="32"/>
          <w:szCs w:val="28"/>
        </w:rPr>
        <w:t>（七）大额采购或批量采购的，应按学校采购管理要求，事先办理采购申请与审批程序，报销时需提供双方签字盖章的购买合同或服务合同。</w:t>
      </w:r>
      <w:r>
        <w:rPr>
          <w:rFonts w:hint="eastAsia" w:ascii="仿宋_GB2312" w:hAnsi="Calibri" w:eastAsia="仿宋_GB2312" w:cs="仿宋_GB2312"/>
          <w:sz w:val="32"/>
          <w:szCs w:val="28"/>
        </w:rPr>
        <w:t>属于政府采购目录的，应按政府采购程序执行，并按政府采购的要求办理报销手续。</w:t>
      </w:r>
      <w:r>
        <w:rPr>
          <w:rFonts w:hint="eastAsia" w:ascii="仿宋_GB2312" w:hAnsi="仿宋" w:eastAsia="仿宋_GB2312" w:cs="仿宋_GB2312"/>
          <w:sz w:val="32"/>
          <w:szCs w:val="28"/>
        </w:rPr>
        <w:t>购买的物品按规定应纳入学校固定资产管理的，应于办理固定资产入账手续后，办理财务报销手续。</w:t>
      </w:r>
    </w:p>
    <w:p>
      <w:pPr>
        <w:spacing w:line="360" w:lineRule="auto"/>
        <w:ind w:firstLine="640" w:firstLineChars="200"/>
        <w:rPr>
          <w:rFonts w:ascii="仿宋_GB2312" w:hAnsi="Calibri" w:eastAsia="仿宋_GB2312" w:cs="Times New Roman"/>
          <w:sz w:val="32"/>
          <w:szCs w:val="28"/>
        </w:rPr>
      </w:pPr>
      <w:r>
        <w:rPr>
          <w:rFonts w:hint="eastAsia" w:ascii="仿宋_GB2312" w:hAnsi="Calibri" w:eastAsia="仿宋_GB2312" w:cs="仿宋_GB2312"/>
          <w:sz w:val="32"/>
          <w:szCs w:val="28"/>
        </w:rPr>
        <w:t>（八）集中组织学生活动发生的车辆租赁应按政府采购程序执行，并按政府采购的要求办理报销手续。报销时应同时提供汽车租赁公司的正式发票和汽车租赁政府采购租赁合同</w:t>
      </w:r>
      <w:r>
        <w:rPr>
          <w:rFonts w:ascii="仿宋_GB2312" w:hAnsi="Calibri" w:eastAsia="仿宋_GB2312" w:cs="仿宋_GB2312"/>
          <w:sz w:val="32"/>
          <w:szCs w:val="28"/>
        </w:rPr>
        <w:t>(</w:t>
      </w:r>
      <w:r>
        <w:rPr>
          <w:rFonts w:hint="eastAsia" w:ascii="仿宋_GB2312" w:hAnsi="Calibri" w:eastAsia="仿宋_GB2312" w:cs="仿宋_GB2312"/>
          <w:sz w:val="32"/>
          <w:szCs w:val="28"/>
        </w:rPr>
        <w:t>协议</w:t>
      </w:r>
      <w:r>
        <w:rPr>
          <w:rFonts w:ascii="仿宋_GB2312" w:hAnsi="Calibri" w:eastAsia="仿宋_GB2312" w:cs="仿宋_GB2312"/>
          <w:sz w:val="32"/>
          <w:szCs w:val="28"/>
        </w:rPr>
        <w:t>)</w:t>
      </w:r>
      <w:r>
        <w:rPr>
          <w:rFonts w:hint="eastAsia" w:ascii="仿宋_GB2312" w:hAnsi="Calibri" w:eastAsia="仿宋_GB2312" w:cs="仿宋_GB2312"/>
          <w:sz w:val="32"/>
          <w:szCs w:val="28"/>
        </w:rPr>
        <w:t>。汽车租赁费用应使用公务卡或银行转账结算支付，合同的签订应按《北方工业大学合同管理办法》的相关规定执行。</w:t>
      </w:r>
    </w:p>
    <w:p>
      <w:pPr>
        <w:spacing w:line="360" w:lineRule="auto"/>
        <w:ind w:firstLine="640" w:firstLineChars="200"/>
        <w:rPr>
          <w:rFonts w:ascii="仿宋_GB2312" w:hAnsi="Calibri" w:eastAsia="仿宋_GB2312" w:cs="Times New Roman"/>
          <w:sz w:val="32"/>
          <w:szCs w:val="28"/>
        </w:rPr>
      </w:pPr>
      <w:r>
        <w:rPr>
          <w:rFonts w:hint="eastAsia" w:ascii="仿宋_GB2312" w:hAnsi="Calibri" w:eastAsia="仿宋_GB2312" w:cs="仿宋_GB2312"/>
          <w:sz w:val="32"/>
          <w:szCs w:val="28"/>
        </w:rPr>
        <w:t>（九）学生活动发生的校外专家劳务费，应按国家和学校规定的标准执行，采取计卡方式支付。</w:t>
      </w:r>
    </w:p>
    <w:p>
      <w:pPr>
        <w:spacing w:line="360" w:lineRule="auto"/>
        <w:ind w:firstLine="640" w:firstLineChars="200"/>
        <w:rPr>
          <w:rFonts w:ascii="仿宋_GB2312" w:hAnsi="Calibri" w:eastAsia="仿宋_GB2312" w:cs="仿宋_GB2312"/>
          <w:sz w:val="32"/>
          <w:szCs w:val="28"/>
        </w:rPr>
      </w:pPr>
      <w:r>
        <w:rPr>
          <w:rFonts w:hint="eastAsia" w:ascii="仿宋_GB2312" w:hAnsi="Calibri" w:eastAsia="仿宋_GB2312" w:cs="仿宋_GB2312"/>
          <w:sz w:val="32"/>
          <w:szCs w:val="28"/>
        </w:rPr>
        <w:t>（十）报销学生活动误餐工作餐费时需同时填制《北方工业大学工作餐费支出审批表》，注明事由及用餐人数。</w:t>
      </w:r>
    </w:p>
    <w:p>
      <w:pPr>
        <w:spacing w:line="360" w:lineRule="auto"/>
        <w:ind w:firstLine="640" w:firstLineChars="200"/>
        <w:rPr>
          <w:rFonts w:ascii="仿宋_GB2312" w:hAnsi="Calibri" w:eastAsia="仿宋_GB2312" w:cs="仿宋_GB2312"/>
          <w:sz w:val="32"/>
          <w:szCs w:val="28"/>
        </w:rPr>
      </w:pPr>
      <w:r>
        <w:rPr>
          <w:rFonts w:hint="eastAsia" w:ascii="仿宋_GB2312" w:hAnsi="Calibri" w:eastAsia="仿宋_GB2312" w:cs="仿宋_GB2312"/>
          <w:sz w:val="32"/>
          <w:szCs w:val="28"/>
        </w:rPr>
        <w:t>（十一）教职工带领学生赴京外社会实践，教职工差旅费按学校差旅费报销管理的相关规定执行。各学院管理的学生活动费不得报销差旅费。</w:t>
      </w:r>
    </w:p>
    <w:p>
      <w:pPr>
        <w:spacing w:line="360" w:lineRule="auto"/>
        <w:ind w:firstLine="640" w:firstLineChars="200"/>
        <w:rPr>
          <w:rFonts w:ascii="仿宋_GB2312" w:hAnsi="Calibri" w:eastAsia="仿宋_GB2312" w:cs="仿宋_GB2312"/>
          <w:sz w:val="32"/>
          <w:szCs w:val="28"/>
        </w:rPr>
      </w:pPr>
      <w:r>
        <w:rPr>
          <w:rFonts w:hint="eastAsia" w:ascii="仿宋_GB2312" w:hAnsi="Calibri" w:eastAsia="仿宋_GB2312" w:cs="仿宋_GB2312"/>
          <w:sz w:val="32"/>
          <w:szCs w:val="28"/>
        </w:rPr>
        <w:t>（十二）报销学生活动印刷费，应按国家和学校印刷费报销管理的相关规定执行。各学院管理的学生活动经费原则上不得报销印刷费。特殊情况下，需事先报经归口管理部门审查批准。印刷费金额达到国家规定限额的，应按政府采购定点的相关规定执行。</w:t>
      </w:r>
    </w:p>
    <w:p>
      <w:pPr>
        <w:spacing w:line="360" w:lineRule="auto"/>
        <w:ind w:firstLine="640" w:firstLineChars="200"/>
        <w:rPr>
          <w:rFonts w:ascii="仿宋_GB2312" w:hAnsi="Calibri" w:eastAsia="仿宋_GB2312" w:cs="Times New Roman"/>
          <w:sz w:val="32"/>
          <w:szCs w:val="28"/>
        </w:rPr>
      </w:pPr>
      <w:r>
        <w:rPr>
          <w:rFonts w:hint="eastAsia" w:ascii="仿宋_GB2312" w:hAnsi="Calibri" w:eastAsia="仿宋_GB2312" w:cs="仿宋_GB2312"/>
          <w:sz w:val="32"/>
          <w:szCs w:val="28"/>
        </w:rPr>
        <w:t>（十三）使用电子发票报销的，应符合《北方工业大学关于使用电子发票报销有关事项的规定》的相关规定。</w:t>
      </w:r>
    </w:p>
    <w:p>
      <w:pPr>
        <w:spacing w:line="360" w:lineRule="auto"/>
        <w:ind w:firstLine="640" w:firstLineChars="200"/>
        <w:rPr>
          <w:rFonts w:ascii="仿宋_GB2312" w:hAnsi="Calibri" w:eastAsia="仿宋_GB2312" w:cs="Times New Roman"/>
          <w:sz w:val="32"/>
          <w:szCs w:val="28"/>
        </w:rPr>
      </w:pPr>
      <w:r>
        <w:rPr>
          <w:rFonts w:hint="eastAsia" w:ascii="仿宋_GB2312" w:hAnsi="Calibri" w:eastAsia="仿宋_GB2312" w:cs="仿宋_GB2312"/>
          <w:sz w:val="32"/>
          <w:szCs w:val="28"/>
        </w:rPr>
        <w:t>（十四）报销非标准规格的票据时，应将票据粘贴在《北方工业大学原始凭证粘贴单》上报销。</w:t>
      </w:r>
    </w:p>
    <w:p>
      <w:pPr>
        <w:spacing w:line="360" w:lineRule="auto"/>
        <w:ind w:firstLine="640" w:firstLineChars="200"/>
        <w:rPr>
          <w:rFonts w:ascii="仿宋_GB2312" w:hAnsi="Calibri" w:eastAsia="仿宋_GB2312" w:cs="仿宋_GB2312"/>
          <w:sz w:val="32"/>
          <w:szCs w:val="28"/>
        </w:rPr>
      </w:pPr>
      <w:r>
        <w:rPr>
          <w:rFonts w:hint="eastAsia" w:ascii="仿宋_GB2312" w:hAnsi="Calibri" w:eastAsia="仿宋_GB2312" w:cs="仿宋_GB2312"/>
          <w:sz w:val="32"/>
          <w:szCs w:val="28"/>
        </w:rPr>
        <w:t>（十五）学生活动经费负责人及经办人应对发票的真伪负责。金额在200元（含）以上的单张发票报销时，经办人应在发票后注明“经查验本发票为真，</w:t>
      </w:r>
      <w:r>
        <w:rPr>
          <w:rFonts w:ascii="仿宋_GB2312" w:hAnsi="Calibri" w:eastAsia="仿宋_GB2312" w:cs="仿宋_GB2312"/>
          <w:sz w:val="32"/>
          <w:szCs w:val="28"/>
        </w:rPr>
        <w:t>XXX</w:t>
      </w:r>
      <w:r>
        <w:rPr>
          <w:rFonts w:hint="eastAsia" w:ascii="仿宋_GB2312" w:hAnsi="Calibri" w:eastAsia="仿宋_GB2312" w:cs="仿宋_GB2312"/>
          <w:sz w:val="32"/>
          <w:szCs w:val="28"/>
        </w:rPr>
        <w:t>（查验人姓名）”字样，或者在财务处网上报销平台进行查验后方可报销。未能在财务系统进行查验的，报销前应自行在国家税务机关发票查验平台进行查验，报销时须同时提供纸质查验单。</w:t>
      </w:r>
    </w:p>
    <w:p>
      <w:pPr>
        <w:snapToGrid w:val="0"/>
        <w:spacing w:before="240" w:line="360" w:lineRule="auto"/>
        <w:jc w:val="center"/>
        <w:rPr>
          <w:rFonts w:ascii="黑体" w:hAnsi="黑体" w:eastAsia="黑体" w:cs="黑体"/>
          <w:b/>
          <w:sz w:val="32"/>
          <w:szCs w:val="28"/>
        </w:rPr>
      </w:pPr>
      <w:r>
        <w:rPr>
          <w:rFonts w:hint="eastAsia" w:ascii="黑体" w:hAnsi="黑体" w:eastAsia="黑体" w:cs="黑体"/>
          <w:b/>
          <w:sz w:val="32"/>
          <w:szCs w:val="28"/>
        </w:rPr>
        <w:t>第四章  附则</w:t>
      </w:r>
    </w:p>
    <w:p>
      <w:pPr>
        <w:spacing w:line="360" w:lineRule="auto"/>
        <w:ind w:firstLine="630" w:firstLineChars="196"/>
        <w:rPr>
          <w:rFonts w:ascii="仿宋_GB2312" w:hAnsi="仿宋" w:eastAsia="仿宋_GB2312" w:cs="仿宋_GB2312"/>
          <w:sz w:val="32"/>
          <w:szCs w:val="28"/>
        </w:rPr>
      </w:pPr>
      <w:r>
        <w:rPr>
          <w:rFonts w:hint="eastAsia" w:ascii="仿宋_GB2312" w:hAnsi="仿宋" w:eastAsia="仿宋_GB2312" w:cs="仿宋_GB2312"/>
          <w:b/>
          <w:bCs/>
          <w:sz w:val="32"/>
          <w:szCs w:val="28"/>
        </w:rPr>
        <w:t xml:space="preserve">第十九条  </w:t>
      </w:r>
      <w:r>
        <w:rPr>
          <w:rFonts w:hint="eastAsia" w:ascii="仿宋_GB2312" w:hAnsi="仿宋" w:eastAsia="仿宋_GB2312" w:cs="仿宋_GB2312"/>
          <w:sz w:val="32"/>
          <w:szCs w:val="28"/>
        </w:rPr>
        <w:t>学校财务部门对学生活动经费的使用及管理情况进行动态监控管理。</w:t>
      </w:r>
    </w:p>
    <w:p>
      <w:pPr>
        <w:spacing w:line="360" w:lineRule="auto"/>
        <w:ind w:firstLine="630" w:firstLineChars="196"/>
        <w:rPr>
          <w:rFonts w:ascii="仿宋_GB2312" w:hAnsi="仿宋" w:eastAsia="仿宋_GB2312" w:cs="仿宋_GB2312"/>
          <w:sz w:val="32"/>
          <w:szCs w:val="28"/>
        </w:rPr>
      </w:pPr>
      <w:r>
        <w:rPr>
          <w:rFonts w:hint="eastAsia" w:ascii="仿宋_GB2312" w:hAnsi="仿宋" w:eastAsia="仿宋_GB2312" w:cs="仿宋_GB2312"/>
          <w:b/>
          <w:bCs/>
          <w:sz w:val="32"/>
          <w:szCs w:val="28"/>
        </w:rPr>
        <w:t xml:space="preserve">第二十条  </w:t>
      </w:r>
      <w:r>
        <w:rPr>
          <w:rFonts w:hint="eastAsia" w:ascii="仿宋_GB2312" w:hAnsi="仿宋" w:eastAsia="仿宋_GB2312" w:cs="仿宋_GB2312"/>
          <w:sz w:val="32"/>
          <w:szCs w:val="28"/>
        </w:rPr>
        <w:t>学生活动经费归口管理部门每年末对各学院学生活动经费支出状况、学生活动开展情况及其经费使用绩效等进行综合评估，评估结果将作为下一年度学生活动经费预算分配的依据。</w:t>
      </w:r>
    </w:p>
    <w:p>
      <w:pPr>
        <w:spacing w:line="360" w:lineRule="auto"/>
        <w:ind w:firstLine="643" w:firstLineChars="200"/>
        <w:rPr>
          <w:rFonts w:ascii="仿宋_GB2312" w:hAnsi="Calibri" w:eastAsia="仿宋_GB2312" w:cs="Calibri"/>
          <w:sz w:val="32"/>
          <w:szCs w:val="28"/>
        </w:rPr>
      </w:pPr>
      <w:r>
        <w:rPr>
          <w:rFonts w:hint="eastAsia" w:ascii="仿宋_GB2312" w:hAnsi="仿宋" w:eastAsia="仿宋_GB2312" w:cs="仿宋_GB2312"/>
          <w:b/>
          <w:bCs/>
          <w:sz w:val="32"/>
          <w:szCs w:val="28"/>
        </w:rPr>
        <w:t xml:space="preserve">第二十一条  </w:t>
      </w:r>
      <w:r>
        <w:rPr>
          <w:rFonts w:hint="eastAsia" w:ascii="仿宋_GB2312" w:hAnsi="Calibri" w:eastAsia="仿宋_GB2312" w:cs="Calibri"/>
          <w:sz w:val="32"/>
          <w:szCs w:val="28"/>
        </w:rPr>
        <w:t>学生工作各相关部门、各学院应根据学校内部控制的要求，建立健全学生活动经费支出内部审核及审批管理的具体办法。</w:t>
      </w:r>
    </w:p>
    <w:p>
      <w:pPr>
        <w:spacing w:line="360" w:lineRule="auto"/>
        <w:ind w:firstLine="643" w:firstLineChars="200"/>
        <w:rPr>
          <w:rFonts w:ascii="仿宋_GB2312" w:hAnsi="Calibri" w:eastAsia="仿宋_GB2312" w:cs="Calibri"/>
          <w:sz w:val="32"/>
          <w:szCs w:val="28"/>
        </w:rPr>
      </w:pPr>
      <w:r>
        <w:rPr>
          <w:rFonts w:hint="eastAsia" w:ascii="仿宋_GB2312" w:hAnsi="仿宋" w:eastAsia="仿宋_GB2312" w:cs="仿宋_GB2312"/>
          <w:b/>
          <w:bCs/>
          <w:sz w:val="32"/>
          <w:szCs w:val="28"/>
        </w:rPr>
        <w:t xml:space="preserve">第二十二条  </w:t>
      </w:r>
      <w:r>
        <w:rPr>
          <w:rFonts w:hint="eastAsia" w:ascii="仿宋_GB2312" w:hAnsi="Calibri" w:eastAsia="仿宋_GB2312" w:cs="Calibri"/>
          <w:sz w:val="32"/>
          <w:szCs w:val="28"/>
        </w:rPr>
        <w:t>学生活动经费的使用要自觉接受学校纪检、监察、审计等部门以及上级管理机关或第三方相关机构的监督、检查。</w:t>
      </w:r>
    </w:p>
    <w:p>
      <w:pPr>
        <w:spacing w:line="360" w:lineRule="auto"/>
        <w:ind w:firstLine="643" w:firstLineChars="200"/>
        <w:rPr>
          <w:rFonts w:ascii="仿宋_GB2312" w:hAnsi="Calibri" w:eastAsia="仿宋_GB2312" w:cs="Calibri"/>
          <w:sz w:val="32"/>
          <w:szCs w:val="28"/>
        </w:rPr>
      </w:pPr>
      <w:r>
        <w:rPr>
          <w:rFonts w:hint="eastAsia" w:ascii="仿宋_GB2312" w:hAnsi="仿宋" w:eastAsia="仿宋_GB2312" w:cs="仿宋_GB2312"/>
          <w:b/>
          <w:bCs/>
          <w:sz w:val="32"/>
          <w:szCs w:val="28"/>
        </w:rPr>
        <w:t xml:space="preserve">第二十三条  </w:t>
      </w:r>
      <w:r>
        <w:rPr>
          <w:rFonts w:hint="eastAsia" w:ascii="仿宋_GB2312" w:hAnsi="Calibri" w:eastAsia="仿宋_GB2312" w:cs="Calibri"/>
          <w:sz w:val="32"/>
          <w:szCs w:val="28"/>
        </w:rPr>
        <w:t>本办法如与国家和上级相关规定不符，或者国家与上级的相关规定发生变化时，依据国家和上级的相关规定执行。</w:t>
      </w:r>
    </w:p>
    <w:p>
      <w:pPr>
        <w:spacing w:line="360" w:lineRule="auto"/>
        <w:ind w:firstLine="643" w:firstLineChars="200"/>
        <w:rPr>
          <w:rFonts w:ascii="仿宋_GB2312" w:hAnsi="Calibri" w:eastAsia="仿宋_GB2312" w:cs="Calibri"/>
          <w:sz w:val="32"/>
          <w:szCs w:val="28"/>
        </w:rPr>
      </w:pPr>
      <w:r>
        <w:rPr>
          <w:rFonts w:hint="eastAsia" w:ascii="仿宋_GB2312" w:hAnsi="仿宋" w:eastAsia="仿宋_GB2312" w:cs="仿宋_GB2312"/>
          <w:b/>
          <w:bCs/>
          <w:sz w:val="32"/>
          <w:szCs w:val="28"/>
        </w:rPr>
        <w:t xml:space="preserve">第二十四条  </w:t>
      </w:r>
      <w:r>
        <w:rPr>
          <w:rFonts w:hint="eastAsia" w:ascii="仿宋_GB2312" w:hAnsi="Calibri" w:eastAsia="仿宋_GB2312" w:cs="Calibri"/>
          <w:sz w:val="32"/>
          <w:szCs w:val="28"/>
        </w:rPr>
        <w:t>北京市财政专项、中央支持地方财政专项或北京市其他专项下达的学生活动类经费，管理办法依据上级相关规定另行制定。</w:t>
      </w:r>
    </w:p>
    <w:p>
      <w:pPr>
        <w:spacing w:line="360" w:lineRule="auto"/>
        <w:ind w:firstLine="643" w:firstLineChars="200"/>
        <w:rPr>
          <w:rFonts w:hint="eastAsia" w:ascii="仿宋_GB2312" w:hAnsi="仿宋" w:eastAsia="仿宋_GB2312" w:cs="仿宋_GB2312"/>
          <w:bCs/>
          <w:sz w:val="32"/>
          <w:szCs w:val="28"/>
        </w:rPr>
      </w:pPr>
      <w:r>
        <w:rPr>
          <w:rFonts w:hint="eastAsia" w:ascii="仿宋_GB2312" w:hAnsi="仿宋" w:eastAsia="仿宋_GB2312" w:cs="仿宋_GB2312"/>
          <w:b/>
          <w:bCs/>
          <w:sz w:val="32"/>
          <w:szCs w:val="28"/>
        </w:rPr>
        <w:t xml:space="preserve">第二十五条  </w:t>
      </w:r>
      <w:r>
        <w:rPr>
          <w:rFonts w:hint="eastAsia" w:ascii="仿宋_GB2312" w:hAnsi="仿宋" w:eastAsia="仿宋_GB2312" w:cs="仿宋_GB2312"/>
          <w:bCs/>
          <w:sz w:val="32"/>
          <w:szCs w:val="28"/>
        </w:rPr>
        <w:t>本办法</w:t>
      </w:r>
      <w:r>
        <w:rPr>
          <w:rFonts w:hint="eastAsia" w:ascii="仿宋_GB2312" w:hAnsi="仿宋" w:eastAsia="仿宋_GB2312" w:cs="仿宋_GB2312"/>
          <w:bCs/>
          <w:sz w:val="32"/>
          <w:szCs w:val="28"/>
          <w:lang w:eastAsia="zh-CN"/>
        </w:rPr>
        <w:t>经</w:t>
      </w:r>
      <w:r>
        <w:rPr>
          <w:rFonts w:hint="eastAsia" w:ascii="仿宋_GB2312" w:hAnsi="仿宋" w:eastAsia="仿宋_GB2312" w:cs="仿宋_GB2312"/>
          <w:bCs/>
          <w:sz w:val="32"/>
          <w:szCs w:val="28"/>
          <w:lang w:val="en-US" w:eastAsia="zh-CN"/>
        </w:rPr>
        <w:t>2021年4月7日学生工作联席会通过，</w:t>
      </w:r>
      <w:r>
        <w:rPr>
          <w:rFonts w:hint="eastAsia" w:ascii="仿宋_GB2312" w:hAnsi="仿宋" w:eastAsia="仿宋_GB2312" w:cs="仿宋_GB2312"/>
          <w:bCs/>
          <w:sz w:val="32"/>
          <w:szCs w:val="28"/>
        </w:rPr>
        <w:t>自发布之日起实施，由学生工作部（处）、校团委、财务处按照职责分工负责解释，原《北方工业大学学生活动经费管理办法（试行）》</w:t>
      </w:r>
      <w:r>
        <w:rPr>
          <w:rFonts w:hint="eastAsia" w:ascii="仿宋_GB2312" w:hAnsi="仿宋" w:eastAsia="仿宋_GB2312" w:cs="仿宋_GB2312"/>
          <w:sz w:val="32"/>
          <w:szCs w:val="28"/>
        </w:rPr>
        <w:t>（团联发〔2018〕1号）同时废止</w:t>
      </w:r>
      <w:r>
        <w:rPr>
          <w:rFonts w:hint="eastAsia" w:ascii="仿宋_GB2312" w:hAnsi="仿宋" w:eastAsia="仿宋_GB2312" w:cs="仿宋_GB2312"/>
          <w:bCs/>
          <w:sz w:val="32"/>
          <w:szCs w:val="28"/>
        </w:rPr>
        <w:t>。</w:t>
      </w:r>
    </w:p>
    <w:p>
      <w:pPr>
        <w:spacing w:line="360" w:lineRule="auto"/>
        <w:ind w:firstLine="640" w:firstLineChars="200"/>
        <w:jc w:val="right"/>
        <w:rPr>
          <w:rFonts w:hint="default" w:ascii="仿宋_GB2312" w:hAnsi="仿宋" w:eastAsia="仿宋_GB2312" w:cs="仿宋_GB2312"/>
          <w:bCs/>
          <w:sz w:val="32"/>
          <w:szCs w:val="28"/>
          <w:lang w:val="en-US" w:eastAsia="zh-CN"/>
        </w:rPr>
      </w:pPr>
    </w:p>
    <w:p>
      <w:pPr>
        <w:rPr>
          <w:rFonts w:ascii="仿宋" w:hAnsi="仿宋" w:eastAsia="仿宋" w:cs="Calibri"/>
          <w:sz w:val="24"/>
          <w:szCs w:val="21"/>
        </w:rPr>
      </w:pPr>
    </w:p>
    <w:p>
      <w:pPr>
        <w:spacing w:line="360" w:lineRule="auto"/>
        <w:rPr>
          <w:rFonts w:ascii="仿宋" w:hAnsi="仿宋" w:eastAsia="仿宋"/>
          <w:sz w:val="32"/>
        </w:rPr>
        <w:sectPr>
          <w:footerReference r:id="rId3" w:type="default"/>
          <w:footerReference r:id="rId4" w:type="even"/>
          <w:pgSz w:w="11906" w:h="16838"/>
          <w:pgMar w:top="1418" w:right="1701" w:bottom="1418" w:left="1701" w:header="851" w:footer="992" w:gutter="0"/>
          <w:pgNumType w:fmt="numberInDash"/>
          <w:cols w:space="425" w:num="1"/>
          <w:docGrid w:type="lines" w:linePitch="312" w:charSpace="0"/>
        </w:sectPr>
      </w:pPr>
    </w:p>
    <w:p>
      <w:pPr>
        <w:spacing w:line="360" w:lineRule="auto"/>
        <w:rPr>
          <w:rFonts w:ascii="仿宋" w:hAnsi="仿宋" w:eastAsia="仿宋" w:cs="Times New Roman"/>
          <w:sz w:val="32"/>
          <w:szCs w:val="32"/>
        </w:rPr>
      </w:pPr>
      <w:r>
        <w:rPr>
          <w:rFonts w:hint="eastAsia" w:ascii="仿宋" w:hAnsi="仿宋" w:eastAsia="仿宋" w:cs="仿宋"/>
          <w:sz w:val="32"/>
          <w:szCs w:val="32"/>
        </w:rPr>
        <w:t>附件：</w:t>
      </w:r>
      <w:bookmarkStart w:id="0" w:name="_GoBack"/>
      <w:bookmarkEnd w:id="0"/>
    </w:p>
    <w:p>
      <w:pPr>
        <w:spacing w:line="360" w:lineRule="auto"/>
        <w:jc w:val="center"/>
        <w:rPr>
          <w:rFonts w:ascii="Calibri" w:hAnsi="Calibri" w:eastAsia="宋体" w:cs="Calibri"/>
          <w:szCs w:val="21"/>
        </w:rPr>
      </w:pPr>
      <w:r>
        <w:rPr>
          <w:rFonts w:hint="eastAsia" w:ascii="黑体" w:hAnsi="黑体" w:eastAsia="黑体" w:cs="Calibri"/>
          <w:sz w:val="32"/>
          <w:szCs w:val="21"/>
        </w:rPr>
        <w:t>北方工业大学学生活动物品采购、验收及领用登记表</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8"/>
        <w:gridCol w:w="1825"/>
        <w:gridCol w:w="925"/>
        <w:gridCol w:w="875"/>
        <w:gridCol w:w="1260"/>
        <w:gridCol w:w="417"/>
        <w:gridCol w:w="1417"/>
        <w:gridCol w:w="1418"/>
        <w:gridCol w:w="1417"/>
        <w:gridCol w:w="19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18" w:type="dxa"/>
          </w:tcPr>
          <w:p>
            <w:pPr>
              <w:spacing w:line="360" w:lineRule="auto"/>
              <w:jc w:val="center"/>
              <w:rPr>
                <w:rFonts w:ascii="仿宋" w:hAnsi="仿宋" w:eastAsia="仿宋" w:cs="Calibri"/>
                <w:sz w:val="24"/>
                <w:szCs w:val="21"/>
              </w:rPr>
            </w:pPr>
            <w:r>
              <w:rPr>
                <w:rFonts w:hint="eastAsia" w:ascii="仿宋" w:hAnsi="仿宋" w:eastAsia="仿宋" w:cs="Calibri"/>
                <w:sz w:val="24"/>
                <w:szCs w:val="21"/>
              </w:rPr>
              <w:t>活动（事项）名称</w:t>
            </w:r>
          </w:p>
        </w:tc>
        <w:tc>
          <w:tcPr>
            <w:tcW w:w="11485" w:type="dxa"/>
            <w:gridSpan w:val="9"/>
          </w:tcPr>
          <w:p>
            <w:pPr>
              <w:spacing w:line="360" w:lineRule="auto"/>
              <w:rPr>
                <w:rFonts w:ascii="仿宋" w:hAnsi="仿宋" w:eastAsia="仿宋" w:cs="Calibri"/>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18" w:type="dxa"/>
          </w:tcPr>
          <w:p>
            <w:pPr>
              <w:spacing w:line="360" w:lineRule="auto"/>
              <w:jc w:val="center"/>
              <w:rPr>
                <w:rFonts w:ascii="仿宋" w:hAnsi="仿宋" w:eastAsia="仿宋" w:cs="Calibri"/>
                <w:sz w:val="24"/>
                <w:szCs w:val="21"/>
              </w:rPr>
            </w:pPr>
            <w:r>
              <w:rPr>
                <w:rFonts w:hint="eastAsia" w:ascii="仿宋" w:hAnsi="仿宋" w:eastAsia="仿宋" w:cs="Calibri"/>
                <w:sz w:val="24"/>
                <w:szCs w:val="21"/>
              </w:rPr>
              <w:t>承办单位</w:t>
            </w:r>
          </w:p>
        </w:tc>
        <w:tc>
          <w:tcPr>
            <w:tcW w:w="5302" w:type="dxa"/>
            <w:gridSpan w:val="5"/>
            <w:tcBorders>
              <w:right w:val="single" w:color="auto" w:sz="4" w:space="0"/>
            </w:tcBorders>
          </w:tcPr>
          <w:p>
            <w:pPr>
              <w:spacing w:line="360" w:lineRule="auto"/>
              <w:rPr>
                <w:rFonts w:ascii="仿宋" w:hAnsi="仿宋" w:eastAsia="仿宋" w:cs="Calibri"/>
                <w:sz w:val="24"/>
                <w:szCs w:val="21"/>
              </w:rPr>
            </w:pPr>
          </w:p>
        </w:tc>
        <w:tc>
          <w:tcPr>
            <w:tcW w:w="1417" w:type="dxa"/>
            <w:tcBorders>
              <w:left w:val="single" w:color="auto" w:sz="4" w:space="0"/>
              <w:right w:val="single" w:color="auto" w:sz="4" w:space="0"/>
            </w:tcBorders>
          </w:tcPr>
          <w:p>
            <w:pPr>
              <w:spacing w:line="360" w:lineRule="auto"/>
              <w:jc w:val="center"/>
              <w:rPr>
                <w:rFonts w:ascii="仿宋" w:hAnsi="仿宋" w:eastAsia="仿宋" w:cs="Calibri"/>
                <w:sz w:val="24"/>
                <w:szCs w:val="21"/>
              </w:rPr>
            </w:pPr>
            <w:r>
              <w:rPr>
                <w:rFonts w:hint="eastAsia" w:ascii="仿宋" w:hAnsi="仿宋" w:eastAsia="仿宋" w:cs="Calibri"/>
                <w:sz w:val="24"/>
                <w:szCs w:val="21"/>
              </w:rPr>
              <w:t>负责人</w:t>
            </w:r>
          </w:p>
        </w:tc>
        <w:tc>
          <w:tcPr>
            <w:tcW w:w="1418" w:type="dxa"/>
            <w:tcBorders>
              <w:left w:val="single" w:color="auto" w:sz="4" w:space="0"/>
              <w:right w:val="single" w:color="auto" w:sz="4" w:space="0"/>
            </w:tcBorders>
          </w:tcPr>
          <w:p>
            <w:pPr>
              <w:spacing w:line="360" w:lineRule="auto"/>
              <w:jc w:val="center"/>
              <w:rPr>
                <w:rFonts w:ascii="仿宋" w:hAnsi="仿宋" w:eastAsia="仿宋" w:cs="Calibri"/>
                <w:sz w:val="24"/>
                <w:szCs w:val="21"/>
              </w:rPr>
            </w:pPr>
          </w:p>
        </w:tc>
        <w:tc>
          <w:tcPr>
            <w:tcW w:w="1417" w:type="dxa"/>
            <w:tcBorders>
              <w:left w:val="single" w:color="auto" w:sz="4" w:space="0"/>
              <w:right w:val="single" w:color="auto" w:sz="4" w:space="0"/>
            </w:tcBorders>
          </w:tcPr>
          <w:p>
            <w:pPr>
              <w:spacing w:line="360" w:lineRule="auto"/>
              <w:jc w:val="center"/>
              <w:rPr>
                <w:rFonts w:ascii="仿宋" w:hAnsi="仿宋" w:eastAsia="仿宋" w:cs="Calibri"/>
                <w:sz w:val="24"/>
                <w:szCs w:val="21"/>
              </w:rPr>
            </w:pPr>
            <w:r>
              <w:rPr>
                <w:rFonts w:hint="eastAsia" w:ascii="仿宋" w:hAnsi="仿宋" w:eastAsia="仿宋" w:cs="Calibri"/>
                <w:sz w:val="24"/>
                <w:szCs w:val="21"/>
              </w:rPr>
              <w:t>联系方式</w:t>
            </w:r>
          </w:p>
        </w:tc>
        <w:tc>
          <w:tcPr>
            <w:tcW w:w="1931" w:type="dxa"/>
            <w:tcBorders>
              <w:left w:val="single" w:color="auto" w:sz="4" w:space="0"/>
            </w:tcBorders>
          </w:tcPr>
          <w:p>
            <w:pPr>
              <w:spacing w:line="360" w:lineRule="auto"/>
              <w:jc w:val="center"/>
              <w:rPr>
                <w:rFonts w:ascii="仿宋" w:hAnsi="仿宋" w:eastAsia="仿宋" w:cs="Calibri"/>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43" w:type="dxa"/>
            <w:gridSpan w:val="2"/>
            <w:tcBorders>
              <w:right w:val="single" w:color="auto" w:sz="4" w:space="0"/>
            </w:tcBorders>
          </w:tcPr>
          <w:p>
            <w:pPr>
              <w:spacing w:line="360" w:lineRule="auto"/>
              <w:jc w:val="center"/>
              <w:rPr>
                <w:rFonts w:ascii="仿宋" w:hAnsi="仿宋" w:eastAsia="仿宋" w:cs="Calibri"/>
                <w:sz w:val="24"/>
                <w:szCs w:val="21"/>
              </w:rPr>
            </w:pPr>
            <w:r>
              <w:rPr>
                <w:rFonts w:hint="eastAsia" w:ascii="仿宋" w:hAnsi="仿宋" w:eastAsia="仿宋" w:cs="Calibri"/>
                <w:sz w:val="24"/>
                <w:szCs w:val="21"/>
              </w:rPr>
              <w:t>物品名称</w:t>
            </w:r>
          </w:p>
        </w:tc>
        <w:tc>
          <w:tcPr>
            <w:tcW w:w="925" w:type="dxa"/>
            <w:tcBorders>
              <w:right w:val="single" w:color="auto" w:sz="4" w:space="0"/>
            </w:tcBorders>
          </w:tcPr>
          <w:p>
            <w:pPr>
              <w:spacing w:line="360" w:lineRule="auto"/>
              <w:jc w:val="center"/>
              <w:rPr>
                <w:rFonts w:ascii="仿宋" w:hAnsi="仿宋" w:eastAsia="仿宋" w:cs="Calibri"/>
                <w:sz w:val="24"/>
                <w:szCs w:val="21"/>
              </w:rPr>
            </w:pPr>
            <w:r>
              <w:rPr>
                <w:rFonts w:hint="eastAsia" w:ascii="仿宋" w:hAnsi="仿宋" w:eastAsia="仿宋" w:cs="Calibri"/>
                <w:sz w:val="24"/>
                <w:szCs w:val="21"/>
              </w:rPr>
              <w:t>单位</w:t>
            </w:r>
          </w:p>
        </w:tc>
        <w:tc>
          <w:tcPr>
            <w:tcW w:w="875" w:type="dxa"/>
            <w:tcBorders>
              <w:left w:val="single" w:color="auto" w:sz="4" w:space="0"/>
              <w:right w:val="single" w:color="auto" w:sz="4" w:space="0"/>
            </w:tcBorders>
          </w:tcPr>
          <w:p>
            <w:pPr>
              <w:spacing w:line="360" w:lineRule="auto"/>
              <w:jc w:val="center"/>
              <w:rPr>
                <w:rFonts w:ascii="仿宋" w:hAnsi="仿宋" w:eastAsia="仿宋" w:cs="Calibri"/>
                <w:sz w:val="24"/>
                <w:szCs w:val="21"/>
              </w:rPr>
            </w:pPr>
            <w:r>
              <w:rPr>
                <w:rFonts w:hint="eastAsia" w:ascii="仿宋" w:hAnsi="仿宋" w:eastAsia="仿宋" w:cs="Calibri"/>
                <w:sz w:val="24"/>
                <w:szCs w:val="21"/>
              </w:rPr>
              <w:t>数量</w:t>
            </w:r>
          </w:p>
        </w:tc>
        <w:tc>
          <w:tcPr>
            <w:tcW w:w="1260" w:type="dxa"/>
            <w:tcBorders>
              <w:left w:val="single" w:color="auto" w:sz="4" w:space="0"/>
              <w:right w:val="single" w:color="auto" w:sz="4" w:space="0"/>
            </w:tcBorders>
          </w:tcPr>
          <w:p>
            <w:pPr>
              <w:spacing w:line="360" w:lineRule="auto"/>
              <w:jc w:val="center"/>
              <w:rPr>
                <w:rFonts w:ascii="仿宋" w:hAnsi="仿宋" w:eastAsia="仿宋" w:cs="Calibri"/>
                <w:sz w:val="24"/>
                <w:szCs w:val="21"/>
              </w:rPr>
            </w:pPr>
            <w:r>
              <w:rPr>
                <w:rFonts w:hint="eastAsia" w:ascii="仿宋" w:hAnsi="仿宋" w:eastAsia="仿宋" w:cs="Calibri"/>
                <w:sz w:val="24"/>
                <w:szCs w:val="21"/>
              </w:rPr>
              <w:t>单价</w:t>
            </w:r>
            <w:r>
              <w:rPr>
                <w:rFonts w:ascii="仿宋" w:hAnsi="仿宋" w:eastAsia="仿宋" w:cs="Calibri"/>
                <w:sz w:val="24"/>
                <w:szCs w:val="21"/>
              </w:rPr>
              <w:t>(</w:t>
            </w:r>
            <w:r>
              <w:rPr>
                <w:rFonts w:hint="eastAsia" w:ascii="仿宋" w:hAnsi="仿宋" w:eastAsia="仿宋" w:cs="Calibri"/>
                <w:sz w:val="24"/>
                <w:szCs w:val="21"/>
              </w:rPr>
              <w:t>元</w:t>
            </w:r>
            <w:r>
              <w:rPr>
                <w:rFonts w:ascii="仿宋" w:hAnsi="仿宋" w:eastAsia="仿宋" w:cs="Calibri"/>
                <w:sz w:val="24"/>
                <w:szCs w:val="21"/>
              </w:rPr>
              <w:t>)</w:t>
            </w:r>
          </w:p>
        </w:tc>
        <w:tc>
          <w:tcPr>
            <w:tcW w:w="1834" w:type="dxa"/>
            <w:gridSpan w:val="2"/>
            <w:tcBorders>
              <w:left w:val="single" w:color="auto" w:sz="4" w:space="0"/>
              <w:right w:val="single" w:color="auto" w:sz="4" w:space="0"/>
            </w:tcBorders>
          </w:tcPr>
          <w:p>
            <w:pPr>
              <w:spacing w:line="360" w:lineRule="auto"/>
              <w:jc w:val="center"/>
              <w:rPr>
                <w:rFonts w:ascii="仿宋" w:hAnsi="仿宋" w:eastAsia="仿宋" w:cs="Calibri"/>
                <w:sz w:val="24"/>
                <w:szCs w:val="21"/>
              </w:rPr>
            </w:pPr>
            <w:r>
              <w:rPr>
                <w:rFonts w:hint="eastAsia" w:ascii="仿宋" w:hAnsi="仿宋" w:eastAsia="仿宋" w:cs="Calibri"/>
                <w:sz w:val="24"/>
                <w:szCs w:val="21"/>
              </w:rPr>
              <w:t>采购人</w:t>
            </w:r>
          </w:p>
        </w:tc>
        <w:tc>
          <w:tcPr>
            <w:tcW w:w="1418" w:type="dxa"/>
            <w:tcBorders>
              <w:left w:val="single" w:color="auto" w:sz="4" w:space="0"/>
              <w:right w:val="single" w:color="auto" w:sz="4" w:space="0"/>
            </w:tcBorders>
          </w:tcPr>
          <w:p>
            <w:pPr>
              <w:spacing w:line="360" w:lineRule="auto"/>
              <w:jc w:val="center"/>
              <w:rPr>
                <w:rFonts w:ascii="仿宋" w:hAnsi="仿宋" w:eastAsia="仿宋" w:cs="Calibri"/>
                <w:sz w:val="24"/>
                <w:szCs w:val="21"/>
              </w:rPr>
            </w:pPr>
            <w:r>
              <w:rPr>
                <w:rFonts w:hint="eastAsia" w:ascii="仿宋" w:hAnsi="仿宋" w:eastAsia="仿宋" w:cs="Calibri"/>
                <w:sz w:val="24"/>
                <w:szCs w:val="21"/>
              </w:rPr>
              <w:t>验收人</w:t>
            </w:r>
          </w:p>
        </w:tc>
        <w:tc>
          <w:tcPr>
            <w:tcW w:w="1417" w:type="dxa"/>
            <w:tcBorders>
              <w:left w:val="single" w:color="auto" w:sz="4" w:space="0"/>
              <w:right w:val="single" w:color="auto" w:sz="4" w:space="0"/>
            </w:tcBorders>
          </w:tcPr>
          <w:p>
            <w:pPr>
              <w:spacing w:line="360" w:lineRule="auto"/>
              <w:jc w:val="center"/>
              <w:rPr>
                <w:rFonts w:ascii="仿宋" w:hAnsi="仿宋" w:eastAsia="仿宋" w:cs="Calibri"/>
                <w:sz w:val="24"/>
                <w:szCs w:val="21"/>
              </w:rPr>
            </w:pPr>
            <w:r>
              <w:rPr>
                <w:rFonts w:hint="eastAsia" w:ascii="仿宋" w:hAnsi="仿宋" w:eastAsia="仿宋" w:cs="Calibri"/>
                <w:sz w:val="24"/>
                <w:szCs w:val="21"/>
              </w:rPr>
              <w:t>领用人</w:t>
            </w:r>
          </w:p>
        </w:tc>
        <w:tc>
          <w:tcPr>
            <w:tcW w:w="1931" w:type="dxa"/>
            <w:tcBorders>
              <w:left w:val="single" w:color="auto" w:sz="4" w:space="0"/>
            </w:tcBorders>
          </w:tcPr>
          <w:p>
            <w:pPr>
              <w:spacing w:line="360" w:lineRule="auto"/>
              <w:jc w:val="center"/>
              <w:rPr>
                <w:rFonts w:ascii="仿宋" w:hAnsi="仿宋" w:eastAsia="仿宋" w:cs="Calibri"/>
                <w:sz w:val="24"/>
                <w:szCs w:val="21"/>
              </w:rPr>
            </w:pPr>
            <w:r>
              <w:rPr>
                <w:rFonts w:hint="eastAsia" w:ascii="仿宋" w:hAnsi="仿宋" w:eastAsia="仿宋" w:cs="Calibri"/>
                <w:sz w:val="24"/>
                <w:szCs w:val="21"/>
              </w:rPr>
              <w:t>领用日期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43" w:type="dxa"/>
            <w:gridSpan w:val="2"/>
            <w:tcBorders>
              <w:right w:val="single" w:color="auto" w:sz="4" w:space="0"/>
            </w:tcBorders>
          </w:tcPr>
          <w:p>
            <w:pPr>
              <w:spacing w:line="360" w:lineRule="auto"/>
              <w:jc w:val="left"/>
              <w:rPr>
                <w:rFonts w:ascii="仿宋" w:hAnsi="仿宋" w:eastAsia="仿宋" w:cs="Calibri"/>
                <w:sz w:val="24"/>
                <w:szCs w:val="21"/>
              </w:rPr>
            </w:pPr>
            <w:r>
              <w:rPr>
                <w:rFonts w:ascii="仿宋" w:hAnsi="仿宋" w:eastAsia="仿宋" w:cs="Calibri"/>
                <w:sz w:val="24"/>
                <w:szCs w:val="21"/>
              </w:rPr>
              <w:t>1.</w:t>
            </w:r>
          </w:p>
        </w:tc>
        <w:tc>
          <w:tcPr>
            <w:tcW w:w="925" w:type="dxa"/>
            <w:tcBorders>
              <w:right w:val="single" w:color="auto" w:sz="4" w:space="0"/>
            </w:tcBorders>
          </w:tcPr>
          <w:p>
            <w:pPr>
              <w:spacing w:line="360" w:lineRule="auto"/>
              <w:jc w:val="left"/>
              <w:rPr>
                <w:rFonts w:ascii="仿宋" w:hAnsi="仿宋" w:eastAsia="仿宋" w:cs="Calibri"/>
                <w:sz w:val="24"/>
                <w:szCs w:val="21"/>
              </w:rPr>
            </w:pPr>
          </w:p>
        </w:tc>
        <w:tc>
          <w:tcPr>
            <w:tcW w:w="875" w:type="dxa"/>
            <w:tcBorders>
              <w:left w:val="single" w:color="auto" w:sz="4" w:space="0"/>
              <w:right w:val="single" w:color="auto" w:sz="4" w:space="0"/>
            </w:tcBorders>
          </w:tcPr>
          <w:p>
            <w:pPr>
              <w:spacing w:line="360" w:lineRule="auto"/>
              <w:jc w:val="center"/>
              <w:rPr>
                <w:rFonts w:ascii="仿宋" w:hAnsi="仿宋" w:eastAsia="仿宋" w:cs="Calibri"/>
                <w:sz w:val="24"/>
                <w:szCs w:val="21"/>
              </w:rPr>
            </w:pPr>
          </w:p>
        </w:tc>
        <w:tc>
          <w:tcPr>
            <w:tcW w:w="1260" w:type="dxa"/>
            <w:tcBorders>
              <w:left w:val="single" w:color="auto" w:sz="4" w:space="0"/>
              <w:right w:val="single" w:color="auto" w:sz="4" w:space="0"/>
            </w:tcBorders>
          </w:tcPr>
          <w:p>
            <w:pPr>
              <w:spacing w:line="360" w:lineRule="auto"/>
              <w:jc w:val="center"/>
              <w:rPr>
                <w:rFonts w:ascii="仿宋" w:hAnsi="仿宋" w:eastAsia="仿宋" w:cs="Calibri"/>
                <w:sz w:val="24"/>
                <w:szCs w:val="21"/>
              </w:rPr>
            </w:pPr>
          </w:p>
        </w:tc>
        <w:tc>
          <w:tcPr>
            <w:tcW w:w="1834" w:type="dxa"/>
            <w:gridSpan w:val="2"/>
            <w:tcBorders>
              <w:left w:val="single" w:color="auto" w:sz="4" w:space="0"/>
              <w:right w:val="single" w:color="auto" w:sz="4" w:space="0"/>
            </w:tcBorders>
          </w:tcPr>
          <w:p>
            <w:pPr>
              <w:spacing w:line="360" w:lineRule="auto"/>
              <w:jc w:val="center"/>
              <w:rPr>
                <w:rFonts w:ascii="仿宋" w:hAnsi="仿宋" w:eastAsia="仿宋" w:cs="Calibri"/>
                <w:sz w:val="24"/>
                <w:szCs w:val="21"/>
              </w:rPr>
            </w:pPr>
          </w:p>
        </w:tc>
        <w:tc>
          <w:tcPr>
            <w:tcW w:w="1418" w:type="dxa"/>
            <w:tcBorders>
              <w:left w:val="single" w:color="auto" w:sz="4" w:space="0"/>
              <w:right w:val="single" w:color="auto" w:sz="4" w:space="0"/>
            </w:tcBorders>
          </w:tcPr>
          <w:p>
            <w:pPr>
              <w:spacing w:line="360" w:lineRule="auto"/>
              <w:jc w:val="center"/>
              <w:rPr>
                <w:rFonts w:ascii="仿宋" w:hAnsi="仿宋" w:eastAsia="仿宋" w:cs="Calibri"/>
                <w:sz w:val="24"/>
                <w:szCs w:val="21"/>
              </w:rPr>
            </w:pPr>
          </w:p>
        </w:tc>
        <w:tc>
          <w:tcPr>
            <w:tcW w:w="1417" w:type="dxa"/>
            <w:tcBorders>
              <w:left w:val="single" w:color="auto" w:sz="4" w:space="0"/>
              <w:right w:val="single" w:color="auto" w:sz="4" w:space="0"/>
            </w:tcBorders>
          </w:tcPr>
          <w:p>
            <w:pPr>
              <w:spacing w:line="360" w:lineRule="auto"/>
              <w:jc w:val="center"/>
              <w:rPr>
                <w:rFonts w:ascii="仿宋" w:hAnsi="仿宋" w:eastAsia="仿宋" w:cs="Calibri"/>
                <w:sz w:val="24"/>
                <w:szCs w:val="21"/>
              </w:rPr>
            </w:pPr>
          </w:p>
        </w:tc>
        <w:tc>
          <w:tcPr>
            <w:tcW w:w="1931" w:type="dxa"/>
            <w:tcBorders>
              <w:left w:val="single" w:color="auto" w:sz="4" w:space="0"/>
            </w:tcBorders>
          </w:tcPr>
          <w:p>
            <w:pPr>
              <w:spacing w:line="360" w:lineRule="auto"/>
              <w:jc w:val="center"/>
              <w:rPr>
                <w:rFonts w:ascii="仿宋" w:hAnsi="仿宋" w:eastAsia="仿宋" w:cs="Calibri"/>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43" w:type="dxa"/>
            <w:gridSpan w:val="2"/>
            <w:tcBorders>
              <w:right w:val="single" w:color="auto" w:sz="4" w:space="0"/>
            </w:tcBorders>
          </w:tcPr>
          <w:p>
            <w:pPr>
              <w:spacing w:line="360" w:lineRule="auto"/>
              <w:jc w:val="left"/>
              <w:rPr>
                <w:rFonts w:ascii="仿宋" w:hAnsi="仿宋" w:eastAsia="仿宋" w:cs="Calibri"/>
                <w:sz w:val="24"/>
                <w:szCs w:val="21"/>
              </w:rPr>
            </w:pPr>
            <w:r>
              <w:rPr>
                <w:rFonts w:ascii="仿宋" w:hAnsi="仿宋" w:eastAsia="仿宋" w:cs="Calibri"/>
                <w:sz w:val="24"/>
                <w:szCs w:val="21"/>
              </w:rPr>
              <w:t>2.</w:t>
            </w:r>
          </w:p>
        </w:tc>
        <w:tc>
          <w:tcPr>
            <w:tcW w:w="925" w:type="dxa"/>
            <w:tcBorders>
              <w:left w:val="single" w:color="auto" w:sz="4" w:space="0"/>
            </w:tcBorders>
          </w:tcPr>
          <w:p>
            <w:pPr>
              <w:spacing w:line="360" w:lineRule="auto"/>
              <w:jc w:val="left"/>
              <w:rPr>
                <w:rFonts w:ascii="仿宋" w:hAnsi="仿宋" w:eastAsia="仿宋" w:cs="Calibri"/>
                <w:sz w:val="24"/>
                <w:szCs w:val="21"/>
              </w:rPr>
            </w:pPr>
          </w:p>
        </w:tc>
        <w:tc>
          <w:tcPr>
            <w:tcW w:w="875" w:type="dxa"/>
          </w:tcPr>
          <w:p>
            <w:pPr>
              <w:spacing w:line="360" w:lineRule="auto"/>
              <w:jc w:val="center"/>
              <w:rPr>
                <w:rFonts w:ascii="仿宋" w:hAnsi="仿宋" w:eastAsia="仿宋" w:cs="Calibri"/>
                <w:sz w:val="24"/>
                <w:szCs w:val="21"/>
              </w:rPr>
            </w:pPr>
          </w:p>
        </w:tc>
        <w:tc>
          <w:tcPr>
            <w:tcW w:w="1260" w:type="dxa"/>
          </w:tcPr>
          <w:p>
            <w:pPr>
              <w:spacing w:line="360" w:lineRule="auto"/>
              <w:jc w:val="center"/>
              <w:rPr>
                <w:rFonts w:ascii="仿宋" w:hAnsi="仿宋" w:eastAsia="仿宋" w:cs="Calibri"/>
                <w:sz w:val="24"/>
                <w:szCs w:val="21"/>
              </w:rPr>
            </w:pPr>
          </w:p>
        </w:tc>
        <w:tc>
          <w:tcPr>
            <w:tcW w:w="1834" w:type="dxa"/>
            <w:gridSpan w:val="2"/>
            <w:tcBorders>
              <w:right w:val="single" w:color="auto" w:sz="4" w:space="0"/>
            </w:tcBorders>
          </w:tcPr>
          <w:p>
            <w:pPr>
              <w:spacing w:line="360" w:lineRule="auto"/>
              <w:jc w:val="center"/>
              <w:rPr>
                <w:rFonts w:ascii="仿宋" w:hAnsi="仿宋" w:eastAsia="仿宋" w:cs="Calibri"/>
                <w:sz w:val="24"/>
                <w:szCs w:val="21"/>
              </w:rPr>
            </w:pPr>
          </w:p>
        </w:tc>
        <w:tc>
          <w:tcPr>
            <w:tcW w:w="1418" w:type="dxa"/>
            <w:tcBorders>
              <w:left w:val="single" w:color="auto" w:sz="4" w:space="0"/>
              <w:right w:val="single" w:color="auto" w:sz="4" w:space="0"/>
            </w:tcBorders>
          </w:tcPr>
          <w:p>
            <w:pPr>
              <w:spacing w:line="360" w:lineRule="auto"/>
              <w:jc w:val="center"/>
              <w:rPr>
                <w:rFonts w:ascii="仿宋" w:hAnsi="仿宋" w:eastAsia="仿宋" w:cs="Calibri"/>
                <w:sz w:val="24"/>
                <w:szCs w:val="21"/>
              </w:rPr>
            </w:pPr>
          </w:p>
        </w:tc>
        <w:tc>
          <w:tcPr>
            <w:tcW w:w="1417" w:type="dxa"/>
            <w:tcBorders>
              <w:left w:val="single" w:color="auto" w:sz="4" w:space="0"/>
              <w:right w:val="single" w:color="auto" w:sz="4" w:space="0"/>
            </w:tcBorders>
          </w:tcPr>
          <w:p>
            <w:pPr>
              <w:spacing w:line="360" w:lineRule="auto"/>
              <w:jc w:val="center"/>
              <w:rPr>
                <w:rFonts w:ascii="仿宋" w:hAnsi="仿宋" w:eastAsia="仿宋" w:cs="Calibri"/>
                <w:sz w:val="24"/>
                <w:szCs w:val="21"/>
              </w:rPr>
            </w:pPr>
          </w:p>
        </w:tc>
        <w:tc>
          <w:tcPr>
            <w:tcW w:w="1931" w:type="dxa"/>
            <w:tcBorders>
              <w:left w:val="single" w:color="auto" w:sz="4" w:space="0"/>
            </w:tcBorders>
          </w:tcPr>
          <w:p>
            <w:pPr>
              <w:spacing w:line="360" w:lineRule="auto"/>
              <w:jc w:val="center"/>
              <w:rPr>
                <w:rFonts w:ascii="仿宋" w:hAnsi="仿宋" w:eastAsia="仿宋" w:cs="Calibri"/>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43" w:type="dxa"/>
            <w:gridSpan w:val="2"/>
            <w:tcBorders>
              <w:right w:val="single" w:color="auto" w:sz="4" w:space="0"/>
            </w:tcBorders>
          </w:tcPr>
          <w:p>
            <w:pPr>
              <w:spacing w:line="360" w:lineRule="auto"/>
              <w:jc w:val="left"/>
              <w:rPr>
                <w:rFonts w:ascii="仿宋" w:hAnsi="仿宋" w:eastAsia="仿宋" w:cs="Calibri"/>
                <w:sz w:val="24"/>
                <w:szCs w:val="21"/>
              </w:rPr>
            </w:pPr>
            <w:r>
              <w:rPr>
                <w:rFonts w:ascii="仿宋" w:hAnsi="仿宋" w:eastAsia="仿宋" w:cs="Calibri"/>
                <w:sz w:val="24"/>
                <w:szCs w:val="21"/>
              </w:rPr>
              <w:t>3.</w:t>
            </w:r>
          </w:p>
        </w:tc>
        <w:tc>
          <w:tcPr>
            <w:tcW w:w="925" w:type="dxa"/>
            <w:tcBorders>
              <w:left w:val="single" w:color="auto" w:sz="4" w:space="0"/>
            </w:tcBorders>
          </w:tcPr>
          <w:p>
            <w:pPr>
              <w:spacing w:line="360" w:lineRule="auto"/>
              <w:jc w:val="left"/>
              <w:rPr>
                <w:rFonts w:ascii="仿宋" w:hAnsi="仿宋" w:eastAsia="仿宋" w:cs="Calibri"/>
                <w:sz w:val="24"/>
                <w:szCs w:val="21"/>
              </w:rPr>
            </w:pPr>
          </w:p>
        </w:tc>
        <w:tc>
          <w:tcPr>
            <w:tcW w:w="875" w:type="dxa"/>
          </w:tcPr>
          <w:p>
            <w:pPr>
              <w:spacing w:line="360" w:lineRule="auto"/>
              <w:jc w:val="center"/>
              <w:rPr>
                <w:rFonts w:ascii="仿宋" w:hAnsi="仿宋" w:eastAsia="仿宋" w:cs="Calibri"/>
                <w:sz w:val="24"/>
                <w:szCs w:val="21"/>
              </w:rPr>
            </w:pPr>
          </w:p>
        </w:tc>
        <w:tc>
          <w:tcPr>
            <w:tcW w:w="1260" w:type="dxa"/>
          </w:tcPr>
          <w:p>
            <w:pPr>
              <w:spacing w:line="360" w:lineRule="auto"/>
              <w:jc w:val="center"/>
              <w:rPr>
                <w:rFonts w:ascii="仿宋" w:hAnsi="仿宋" w:eastAsia="仿宋" w:cs="Calibri"/>
                <w:sz w:val="24"/>
                <w:szCs w:val="21"/>
              </w:rPr>
            </w:pPr>
          </w:p>
        </w:tc>
        <w:tc>
          <w:tcPr>
            <w:tcW w:w="1834" w:type="dxa"/>
            <w:gridSpan w:val="2"/>
            <w:tcBorders>
              <w:right w:val="single" w:color="auto" w:sz="4" w:space="0"/>
            </w:tcBorders>
          </w:tcPr>
          <w:p>
            <w:pPr>
              <w:spacing w:line="360" w:lineRule="auto"/>
              <w:jc w:val="center"/>
              <w:rPr>
                <w:rFonts w:ascii="仿宋" w:hAnsi="仿宋" w:eastAsia="仿宋" w:cs="Calibri"/>
                <w:sz w:val="24"/>
                <w:szCs w:val="21"/>
              </w:rPr>
            </w:pPr>
          </w:p>
        </w:tc>
        <w:tc>
          <w:tcPr>
            <w:tcW w:w="1418" w:type="dxa"/>
            <w:tcBorders>
              <w:left w:val="single" w:color="auto" w:sz="4" w:space="0"/>
              <w:right w:val="single" w:color="auto" w:sz="4" w:space="0"/>
            </w:tcBorders>
          </w:tcPr>
          <w:p>
            <w:pPr>
              <w:spacing w:line="360" w:lineRule="auto"/>
              <w:jc w:val="center"/>
              <w:rPr>
                <w:rFonts w:ascii="仿宋" w:hAnsi="仿宋" w:eastAsia="仿宋" w:cs="Calibri"/>
                <w:sz w:val="24"/>
                <w:szCs w:val="21"/>
              </w:rPr>
            </w:pPr>
          </w:p>
        </w:tc>
        <w:tc>
          <w:tcPr>
            <w:tcW w:w="1417" w:type="dxa"/>
            <w:tcBorders>
              <w:left w:val="single" w:color="auto" w:sz="4" w:space="0"/>
              <w:right w:val="single" w:color="auto" w:sz="4" w:space="0"/>
            </w:tcBorders>
          </w:tcPr>
          <w:p>
            <w:pPr>
              <w:spacing w:line="360" w:lineRule="auto"/>
              <w:jc w:val="center"/>
              <w:rPr>
                <w:rFonts w:ascii="仿宋" w:hAnsi="仿宋" w:eastAsia="仿宋" w:cs="Calibri"/>
                <w:sz w:val="24"/>
                <w:szCs w:val="21"/>
              </w:rPr>
            </w:pPr>
          </w:p>
        </w:tc>
        <w:tc>
          <w:tcPr>
            <w:tcW w:w="1931" w:type="dxa"/>
            <w:tcBorders>
              <w:left w:val="single" w:color="auto" w:sz="4" w:space="0"/>
            </w:tcBorders>
          </w:tcPr>
          <w:p>
            <w:pPr>
              <w:spacing w:line="360" w:lineRule="auto"/>
              <w:jc w:val="center"/>
              <w:rPr>
                <w:rFonts w:ascii="仿宋" w:hAnsi="仿宋" w:eastAsia="仿宋" w:cs="Calibri"/>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43" w:type="dxa"/>
            <w:gridSpan w:val="2"/>
            <w:tcBorders>
              <w:right w:val="single" w:color="auto" w:sz="4" w:space="0"/>
            </w:tcBorders>
          </w:tcPr>
          <w:p>
            <w:pPr>
              <w:spacing w:line="360" w:lineRule="auto"/>
              <w:jc w:val="left"/>
              <w:rPr>
                <w:rFonts w:ascii="仿宋" w:hAnsi="仿宋" w:eastAsia="仿宋" w:cs="Calibri"/>
                <w:sz w:val="24"/>
                <w:szCs w:val="21"/>
              </w:rPr>
            </w:pPr>
            <w:r>
              <w:rPr>
                <w:rFonts w:ascii="仿宋" w:hAnsi="仿宋" w:eastAsia="仿宋" w:cs="Calibri"/>
                <w:sz w:val="24"/>
                <w:szCs w:val="21"/>
              </w:rPr>
              <w:t>4.</w:t>
            </w:r>
          </w:p>
        </w:tc>
        <w:tc>
          <w:tcPr>
            <w:tcW w:w="925" w:type="dxa"/>
            <w:tcBorders>
              <w:left w:val="single" w:color="auto" w:sz="4" w:space="0"/>
            </w:tcBorders>
          </w:tcPr>
          <w:p>
            <w:pPr>
              <w:spacing w:line="360" w:lineRule="auto"/>
              <w:jc w:val="left"/>
              <w:rPr>
                <w:rFonts w:ascii="仿宋" w:hAnsi="仿宋" w:eastAsia="仿宋" w:cs="Calibri"/>
                <w:sz w:val="24"/>
                <w:szCs w:val="21"/>
              </w:rPr>
            </w:pPr>
          </w:p>
        </w:tc>
        <w:tc>
          <w:tcPr>
            <w:tcW w:w="875" w:type="dxa"/>
          </w:tcPr>
          <w:p>
            <w:pPr>
              <w:spacing w:line="360" w:lineRule="auto"/>
              <w:jc w:val="center"/>
              <w:rPr>
                <w:rFonts w:ascii="仿宋" w:hAnsi="仿宋" w:eastAsia="仿宋" w:cs="Calibri"/>
                <w:sz w:val="24"/>
                <w:szCs w:val="21"/>
              </w:rPr>
            </w:pPr>
          </w:p>
        </w:tc>
        <w:tc>
          <w:tcPr>
            <w:tcW w:w="1260" w:type="dxa"/>
          </w:tcPr>
          <w:p>
            <w:pPr>
              <w:spacing w:line="360" w:lineRule="auto"/>
              <w:jc w:val="center"/>
              <w:rPr>
                <w:rFonts w:ascii="仿宋" w:hAnsi="仿宋" w:eastAsia="仿宋" w:cs="Calibri"/>
                <w:sz w:val="24"/>
                <w:szCs w:val="21"/>
              </w:rPr>
            </w:pPr>
          </w:p>
        </w:tc>
        <w:tc>
          <w:tcPr>
            <w:tcW w:w="1834" w:type="dxa"/>
            <w:gridSpan w:val="2"/>
            <w:tcBorders>
              <w:right w:val="single" w:color="auto" w:sz="4" w:space="0"/>
            </w:tcBorders>
          </w:tcPr>
          <w:p>
            <w:pPr>
              <w:spacing w:line="360" w:lineRule="auto"/>
              <w:jc w:val="center"/>
              <w:rPr>
                <w:rFonts w:ascii="仿宋" w:hAnsi="仿宋" w:eastAsia="仿宋" w:cs="Calibri"/>
                <w:sz w:val="24"/>
                <w:szCs w:val="21"/>
              </w:rPr>
            </w:pPr>
          </w:p>
        </w:tc>
        <w:tc>
          <w:tcPr>
            <w:tcW w:w="1418" w:type="dxa"/>
            <w:tcBorders>
              <w:left w:val="single" w:color="auto" w:sz="4" w:space="0"/>
              <w:right w:val="single" w:color="auto" w:sz="4" w:space="0"/>
            </w:tcBorders>
          </w:tcPr>
          <w:p>
            <w:pPr>
              <w:spacing w:line="360" w:lineRule="auto"/>
              <w:jc w:val="center"/>
              <w:rPr>
                <w:rFonts w:ascii="仿宋" w:hAnsi="仿宋" w:eastAsia="仿宋" w:cs="Calibri"/>
                <w:sz w:val="24"/>
                <w:szCs w:val="21"/>
              </w:rPr>
            </w:pPr>
          </w:p>
        </w:tc>
        <w:tc>
          <w:tcPr>
            <w:tcW w:w="1417" w:type="dxa"/>
            <w:tcBorders>
              <w:left w:val="single" w:color="auto" w:sz="4" w:space="0"/>
              <w:right w:val="single" w:color="auto" w:sz="4" w:space="0"/>
            </w:tcBorders>
          </w:tcPr>
          <w:p>
            <w:pPr>
              <w:spacing w:line="360" w:lineRule="auto"/>
              <w:jc w:val="center"/>
              <w:rPr>
                <w:rFonts w:ascii="仿宋" w:hAnsi="仿宋" w:eastAsia="仿宋" w:cs="Calibri"/>
                <w:sz w:val="24"/>
                <w:szCs w:val="21"/>
              </w:rPr>
            </w:pPr>
          </w:p>
        </w:tc>
        <w:tc>
          <w:tcPr>
            <w:tcW w:w="1931" w:type="dxa"/>
            <w:tcBorders>
              <w:left w:val="single" w:color="auto" w:sz="4" w:space="0"/>
            </w:tcBorders>
          </w:tcPr>
          <w:p>
            <w:pPr>
              <w:spacing w:line="360" w:lineRule="auto"/>
              <w:jc w:val="center"/>
              <w:rPr>
                <w:rFonts w:ascii="仿宋" w:hAnsi="仿宋" w:eastAsia="仿宋" w:cs="Calibri"/>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43" w:type="dxa"/>
            <w:gridSpan w:val="2"/>
            <w:tcBorders>
              <w:right w:val="single" w:color="auto" w:sz="4" w:space="0"/>
            </w:tcBorders>
          </w:tcPr>
          <w:p>
            <w:pPr>
              <w:spacing w:line="360" w:lineRule="auto"/>
              <w:jc w:val="left"/>
              <w:rPr>
                <w:rFonts w:ascii="仿宋" w:hAnsi="仿宋" w:eastAsia="仿宋" w:cs="Calibri"/>
                <w:sz w:val="24"/>
                <w:szCs w:val="21"/>
              </w:rPr>
            </w:pPr>
            <w:r>
              <w:rPr>
                <w:rFonts w:ascii="仿宋" w:hAnsi="仿宋" w:eastAsia="仿宋" w:cs="Calibri"/>
                <w:sz w:val="24"/>
                <w:szCs w:val="21"/>
              </w:rPr>
              <w:t>5.</w:t>
            </w:r>
          </w:p>
        </w:tc>
        <w:tc>
          <w:tcPr>
            <w:tcW w:w="925" w:type="dxa"/>
            <w:tcBorders>
              <w:left w:val="single" w:color="auto" w:sz="4" w:space="0"/>
            </w:tcBorders>
          </w:tcPr>
          <w:p>
            <w:pPr>
              <w:spacing w:line="360" w:lineRule="auto"/>
              <w:jc w:val="left"/>
              <w:rPr>
                <w:rFonts w:ascii="仿宋" w:hAnsi="仿宋" w:eastAsia="仿宋" w:cs="Calibri"/>
                <w:sz w:val="24"/>
                <w:szCs w:val="21"/>
              </w:rPr>
            </w:pPr>
          </w:p>
        </w:tc>
        <w:tc>
          <w:tcPr>
            <w:tcW w:w="875" w:type="dxa"/>
          </w:tcPr>
          <w:p>
            <w:pPr>
              <w:spacing w:line="360" w:lineRule="auto"/>
              <w:jc w:val="center"/>
              <w:rPr>
                <w:rFonts w:ascii="仿宋" w:hAnsi="仿宋" w:eastAsia="仿宋" w:cs="Calibri"/>
                <w:sz w:val="24"/>
                <w:szCs w:val="21"/>
              </w:rPr>
            </w:pPr>
          </w:p>
        </w:tc>
        <w:tc>
          <w:tcPr>
            <w:tcW w:w="1260" w:type="dxa"/>
          </w:tcPr>
          <w:p>
            <w:pPr>
              <w:spacing w:line="360" w:lineRule="auto"/>
              <w:jc w:val="center"/>
              <w:rPr>
                <w:rFonts w:ascii="仿宋" w:hAnsi="仿宋" w:eastAsia="仿宋" w:cs="Calibri"/>
                <w:sz w:val="24"/>
                <w:szCs w:val="21"/>
              </w:rPr>
            </w:pPr>
          </w:p>
        </w:tc>
        <w:tc>
          <w:tcPr>
            <w:tcW w:w="1834" w:type="dxa"/>
            <w:gridSpan w:val="2"/>
            <w:tcBorders>
              <w:right w:val="single" w:color="auto" w:sz="4" w:space="0"/>
            </w:tcBorders>
          </w:tcPr>
          <w:p>
            <w:pPr>
              <w:spacing w:line="360" w:lineRule="auto"/>
              <w:jc w:val="center"/>
              <w:rPr>
                <w:rFonts w:ascii="仿宋" w:hAnsi="仿宋" w:eastAsia="仿宋" w:cs="Calibri"/>
                <w:sz w:val="24"/>
                <w:szCs w:val="21"/>
              </w:rPr>
            </w:pPr>
          </w:p>
        </w:tc>
        <w:tc>
          <w:tcPr>
            <w:tcW w:w="1418" w:type="dxa"/>
            <w:tcBorders>
              <w:left w:val="single" w:color="auto" w:sz="4" w:space="0"/>
              <w:right w:val="single" w:color="auto" w:sz="4" w:space="0"/>
            </w:tcBorders>
          </w:tcPr>
          <w:p>
            <w:pPr>
              <w:spacing w:line="360" w:lineRule="auto"/>
              <w:jc w:val="center"/>
              <w:rPr>
                <w:rFonts w:ascii="仿宋" w:hAnsi="仿宋" w:eastAsia="仿宋" w:cs="Calibri"/>
                <w:sz w:val="24"/>
                <w:szCs w:val="21"/>
              </w:rPr>
            </w:pPr>
          </w:p>
        </w:tc>
        <w:tc>
          <w:tcPr>
            <w:tcW w:w="1417" w:type="dxa"/>
            <w:tcBorders>
              <w:left w:val="single" w:color="auto" w:sz="4" w:space="0"/>
              <w:right w:val="single" w:color="auto" w:sz="4" w:space="0"/>
            </w:tcBorders>
          </w:tcPr>
          <w:p>
            <w:pPr>
              <w:spacing w:line="360" w:lineRule="auto"/>
              <w:jc w:val="center"/>
              <w:rPr>
                <w:rFonts w:ascii="仿宋" w:hAnsi="仿宋" w:eastAsia="仿宋" w:cs="Calibri"/>
                <w:sz w:val="24"/>
                <w:szCs w:val="21"/>
              </w:rPr>
            </w:pPr>
          </w:p>
        </w:tc>
        <w:tc>
          <w:tcPr>
            <w:tcW w:w="1931" w:type="dxa"/>
            <w:tcBorders>
              <w:left w:val="single" w:color="auto" w:sz="4" w:space="0"/>
            </w:tcBorders>
          </w:tcPr>
          <w:p>
            <w:pPr>
              <w:spacing w:line="360" w:lineRule="auto"/>
              <w:jc w:val="center"/>
              <w:rPr>
                <w:rFonts w:ascii="仿宋" w:hAnsi="仿宋" w:eastAsia="仿宋" w:cs="Calibri"/>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43" w:type="dxa"/>
            <w:gridSpan w:val="2"/>
            <w:tcBorders>
              <w:right w:val="single" w:color="auto" w:sz="4" w:space="0"/>
            </w:tcBorders>
          </w:tcPr>
          <w:p>
            <w:pPr>
              <w:spacing w:line="360" w:lineRule="auto"/>
              <w:jc w:val="left"/>
              <w:rPr>
                <w:rFonts w:ascii="仿宋" w:hAnsi="仿宋" w:eastAsia="仿宋" w:cs="Calibri"/>
                <w:sz w:val="24"/>
                <w:szCs w:val="21"/>
              </w:rPr>
            </w:pPr>
            <w:r>
              <w:rPr>
                <w:rFonts w:ascii="仿宋" w:hAnsi="仿宋" w:eastAsia="仿宋" w:cs="Calibri"/>
                <w:sz w:val="24"/>
                <w:szCs w:val="21"/>
              </w:rPr>
              <w:t>6.</w:t>
            </w:r>
          </w:p>
        </w:tc>
        <w:tc>
          <w:tcPr>
            <w:tcW w:w="925" w:type="dxa"/>
            <w:tcBorders>
              <w:left w:val="single" w:color="auto" w:sz="4" w:space="0"/>
            </w:tcBorders>
          </w:tcPr>
          <w:p>
            <w:pPr>
              <w:spacing w:line="360" w:lineRule="auto"/>
              <w:jc w:val="left"/>
              <w:rPr>
                <w:rFonts w:ascii="仿宋" w:hAnsi="仿宋" w:eastAsia="仿宋" w:cs="Calibri"/>
                <w:sz w:val="24"/>
                <w:szCs w:val="21"/>
              </w:rPr>
            </w:pPr>
          </w:p>
        </w:tc>
        <w:tc>
          <w:tcPr>
            <w:tcW w:w="875" w:type="dxa"/>
          </w:tcPr>
          <w:p>
            <w:pPr>
              <w:spacing w:line="360" w:lineRule="auto"/>
              <w:jc w:val="center"/>
              <w:rPr>
                <w:rFonts w:ascii="仿宋" w:hAnsi="仿宋" w:eastAsia="仿宋" w:cs="Calibri"/>
                <w:sz w:val="24"/>
                <w:szCs w:val="21"/>
              </w:rPr>
            </w:pPr>
          </w:p>
        </w:tc>
        <w:tc>
          <w:tcPr>
            <w:tcW w:w="1260" w:type="dxa"/>
          </w:tcPr>
          <w:p>
            <w:pPr>
              <w:spacing w:line="360" w:lineRule="auto"/>
              <w:jc w:val="center"/>
              <w:rPr>
                <w:rFonts w:ascii="仿宋" w:hAnsi="仿宋" w:eastAsia="仿宋" w:cs="Calibri"/>
                <w:sz w:val="24"/>
                <w:szCs w:val="21"/>
              </w:rPr>
            </w:pPr>
          </w:p>
        </w:tc>
        <w:tc>
          <w:tcPr>
            <w:tcW w:w="1834" w:type="dxa"/>
            <w:gridSpan w:val="2"/>
            <w:tcBorders>
              <w:right w:val="single" w:color="auto" w:sz="4" w:space="0"/>
            </w:tcBorders>
          </w:tcPr>
          <w:p>
            <w:pPr>
              <w:spacing w:line="360" w:lineRule="auto"/>
              <w:jc w:val="center"/>
              <w:rPr>
                <w:rFonts w:ascii="仿宋" w:hAnsi="仿宋" w:eastAsia="仿宋" w:cs="Calibri"/>
                <w:sz w:val="24"/>
                <w:szCs w:val="21"/>
              </w:rPr>
            </w:pPr>
          </w:p>
        </w:tc>
        <w:tc>
          <w:tcPr>
            <w:tcW w:w="1418" w:type="dxa"/>
            <w:tcBorders>
              <w:left w:val="single" w:color="auto" w:sz="4" w:space="0"/>
              <w:right w:val="single" w:color="auto" w:sz="4" w:space="0"/>
            </w:tcBorders>
          </w:tcPr>
          <w:p>
            <w:pPr>
              <w:spacing w:line="360" w:lineRule="auto"/>
              <w:jc w:val="center"/>
              <w:rPr>
                <w:rFonts w:ascii="仿宋" w:hAnsi="仿宋" w:eastAsia="仿宋" w:cs="Calibri"/>
                <w:sz w:val="24"/>
                <w:szCs w:val="21"/>
              </w:rPr>
            </w:pPr>
          </w:p>
        </w:tc>
        <w:tc>
          <w:tcPr>
            <w:tcW w:w="1417" w:type="dxa"/>
            <w:tcBorders>
              <w:left w:val="single" w:color="auto" w:sz="4" w:space="0"/>
              <w:right w:val="single" w:color="auto" w:sz="4" w:space="0"/>
            </w:tcBorders>
          </w:tcPr>
          <w:p>
            <w:pPr>
              <w:spacing w:line="360" w:lineRule="auto"/>
              <w:jc w:val="center"/>
              <w:rPr>
                <w:rFonts w:ascii="仿宋" w:hAnsi="仿宋" w:eastAsia="仿宋" w:cs="Calibri"/>
                <w:sz w:val="24"/>
                <w:szCs w:val="21"/>
              </w:rPr>
            </w:pPr>
          </w:p>
        </w:tc>
        <w:tc>
          <w:tcPr>
            <w:tcW w:w="1931" w:type="dxa"/>
            <w:tcBorders>
              <w:left w:val="single" w:color="auto" w:sz="4" w:space="0"/>
            </w:tcBorders>
          </w:tcPr>
          <w:p>
            <w:pPr>
              <w:spacing w:line="360" w:lineRule="auto"/>
              <w:jc w:val="center"/>
              <w:rPr>
                <w:rFonts w:ascii="仿宋" w:hAnsi="仿宋" w:eastAsia="仿宋" w:cs="Calibri"/>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43" w:type="dxa"/>
            <w:gridSpan w:val="2"/>
            <w:tcBorders>
              <w:right w:val="single" w:color="auto" w:sz="4" w:space="0"/>
            </w:tcBorders>
          </w:tcPr>
          <w:p>
            <w:pPr>
              <w:spacing w:line="360" w:lineRule="auto"/>
              <w:jc w:val="left"/>
              <w:rPr>
                <w:rFonts w:ascii="仿宋" w:hAnsi="仿宋" w:eastAsia="仿宋" w:cs="Calibri"/>
                <w:sz w:val="24"/>
                <w:szCs w:val="21"/>
              </w:rPr>
            </w:pPr>
            <w:r>
              <w:rPr>
                <w:rFonts w:hint="eastAsia" w:ascii="仿宋" w:hAnsi="仿宋" w:eastAsia="仿宋" w:cs="Calibri"/>
                <w:sz w:val="24"/>
                <w:szCs w:val="21"/>
              </w:rPr>
              <w:t>7.</w:t>
            </w:r>
          </w:p>
        </w:tc>
        <w:tc>
          <w:tcPr>
            <w:tcW w:w="925" w:type="dxa"/>
            <w:tcBorders>
              <w:left w:val="single" w:color="auto" w:sz="4" w:space="0"/>
            </w:tcBorders>
          </w:tcPr>
          <w:p>
            <w:pPr>
              <w:spacing w:line="360" w:lineRule="auto"/>
              <w:jc w:val="left"/>
              <w:rPr>
                <w:rFonts w:ascii="仿宋" w:hAnsi="仿宋" w:eastAsia="仿宋" w:cs="Calibri"/>
                <w:sz w:val="24"/>
                <w:szCs w:val="21"/>
              </w:rPr>
            </w:pPr>
          </w:p>
        </w:tc>
        <w:tc>
          <w:tcPr>
            <w:tcW w:w="875" w:type="dxa"/>
          </w:tcPr>
          <w:p>
            <w:pPr>
              <w:spacing w:line="360" w:lineRule="auto"/>
              <w:jc w:val="center"/>
              <w:rPr>
                <w:rFonts w:ascii="仿宋" w:hAnsi="仿宋" w:eastAsia="仿宋" w:cs="Calibri"/>
                <w:sz w:val="24"/>
                <w:szCs w:val="21"/>
              </w:rPr>
            </w:pPr>
          </w:p>
        </w:tc>
        <w:tc>
          <w:tcPr>
            <w:tcW w:w="1260" w:type="dxa"/>
          </w:tcPr>
          <w:p>
            <w:pPr>
              <w:spacing w:line="360" w:lineRule="auto"/>
              <w:jc w:val="center"/>
              <w:rPr>
                <w:rFonts w:ascii="仿宋" w:hAnsi="仿宋" w:eastAsia="仿宋" w:cs="Calibri"/>
                <w:sz w:val="24"/>
                <w:szCs w:val="21"/>
              </w:rPr>
            </w:pPr>
          </w:p>
        </w:tc>
        <w:tc>
          <w:tcPr>
            <w:tcW w:w="1834" w:type="dxa"/>
            <w:gridSpan w:val="2"/>
            <w:tcBorders>
              <w:right w:val="single" w:color="auto" w:sz="4" w:space="0"/>
            </w:tcBorders>
          </w:tcPr>
          <w:p>
            <w:pPr>
              <w:spacing w:line="360" w:lineRule="auto"/>
              <w:jc w:val="center"/>
              <w:rPr>
                <w:rFonts w:ascii="仿宋" w:hAnsi="仿宋" w:eastAsia="仿宋" w:cs="Calibri"/>
                <w:sz w:val="24"/>
                <w:szCs w:val="21"/>
              </w:rPr>
            </w:pPr>
          </w:p>
        </w:tc>
        <w:tc>
          <w:tcPr>
            <w:tcW w:w="1418" w:type="dxa"/>
            <w:tcBorders>
              <w:left w:val="single" w:color="auto" w:sz="4" w:space="0"/>
              <w:right w:val="single" w:color="auto" w:sz="4" w:space="0"/>
            </w:tcBorders>
          </w:tcPr>
          <w:p>
            <w:pPr>
              <w:spacing w:line="360" w:lineRule="auto"/>
              <w:jc w:val="center"/>
              <w:rPr>
                <w:rFonts w:ascii="仿宋" w:hAnsi="仿宋" w:eastAsia="仿宋" w:cs="Calibri"/>
                <w:sz w:val="24"/>
                <w:szCs w:val="21"/>
              </w:rPr>
            </w:pPr>
          </w:p>
        </w:tc>
        <w:tc>
          <w:tcPr>
            <w:tcW w:w="1417" w:type="dxa"/>
            <w:tcBorders>
              <w:left w:val="single" w:color="auto" w:sz="4" w:space="0"/>
              <w:right w:val="single" w:color="auto" w:sz="4" w:space="0"/>
            </w:tcBorders>
          </w:tcPr>
          <w:p>
            <w:pPr>
              <w:spacing w:line="360" w:lineRule="auto"/>
              <w:jc w:val="center"/>
              <w:rPr>
                <w:rFonts w:ascii="仿宋" w:hAnsi="仿宋" w:eastAsia="仿宋" w:cs="Calibri"/>
                <w:sz w:val="24"/>
                <w:szCs w:val="21"/>
              </w:rPr>
            </w:pPr>
          </w:p>
        </w:tc>
        <w:tc>
          <w:tcPr>
            <w:tcW w:w="1931" w:type="dxa"/>
            <w:tcBorders>
              <w:left w:val="single" w:color="auto" w:sz="4" w:space="0"/>
            </w:tcBorders>
          </w:tcPr>
          <w:p>
            <w:pPr>
              <w:spacing w:line="360" w:lineRule="auto"/>
              <w:jc w:val="center"/>
              <w:rPr>
                <w:rFonts w:ascii="仿宋" w:hAnsi="仿宋" w:eastAsia="仿宋" w:cs="Calibri"/>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43" w:type="dxa"/>
            <w:gridSpan w:val="2"/>
            <w:tcBorders>
              <w:right w:val="single" w:color="auto" w:sz="4" w:space="0"/>
            </w:tcBorders>
          </w:tcPr>
          <w:p>
            <w:pPr>
              <w:spacing w:line="360" w:lineRule="auto"/>
              <w:jc w:val="left"/>
              <w:rPr>
                <w:rFonts w:ascii="仿宋" w:hAnsi="仿宋" w:eastAsia="仿宋" w:cs="Calibri"/>
                <w:sz w:val="24"/>
                <w:szCs w:val="21"/>
              </w:rPr>
            </w:pPr>
            <w:r>
              <w:rPr>
                <w:rFonts w:hint="eastAsia" w:ascii="仿宋" w:hAnsi="仿宋" w:eastAsia="仿宋" w:cs="Calibri"/>
                <w:sz w:val="24"/>
                <w:szCs w:val="21"/>
              </w:rPr>
              <w:t>8.</w:t>
            </w:r>
          </w:p>
        </w:tc>
        <w:tc>
          <w:tcPr>
            <w:tcW w:w="925" w:type="dxa"/>
            <w:tcBorders>
              <w:left w:val="single" w:color="auto" w:sz="4" w:space="0"/>
            </w:tcBorders>
          </w:tcPr>
          <w:p>
            <w:pPr>
              <w:spacing w:line="360" w:lineRule="auto"/>
              <w:jc w:val="left"/>
              <w:rPr>
                <w:rFonts w:ascii="仿宋" w:hAnsi="仿宋" w:eastAsia="仿宋" w:cs="Calibri"/>
                <w:sz w:val="24"/>
                <w:szCs w:val="21"/>
              </w:rPr>
            </w:pPr>
          </w:p>
        </w:tc>
        <w:tc>
          <w:tcPr>
            <w:tcW w:w="875" w:type="dxa"/>
          </w:tcPr>
          <w:p>
            <w:pPr>
              <w:spacing w:line="360" w:lineRule="auto"/>
              <w:jc w:val="center"/>
              <w:rPr>
                <w:rFonts w:ascii="仿宋" w:hAnsi="仿宋" w:eastAsia="仿宋" w:cs="Calibri"/>
                <w:sz w:val="24"/>
                <w:szCs w:val="21"/>
              </w:rPr>
            </w:pPr>
          </w:p>
        </w:tc>
        <w:tc>
          <w:tcPr>
            <w:tcW w:w="1260" w:type="dxa"/>
          </w:tcPr>
          <w:p>
            <w:pPr>
              <w:spacing w:line="360" w:lineRule="auto"/>
              <w:jc w:val="center"/>
              <w:rPr>
                <w:rFonts w:ascii="仿宋" w:hAnsi="仿宋" w:eastAsia="仿宋" w:cs="Calibri"/>
                <w:sz w:val="24"/>
                <w:szCs w:val="21"/>
              </w:rPr>
            </w:pPr>
          </w:p>
        </w:tc>
        <w:tc>
          <w:tcPr>
            <w:tcW w:w="1834" w:type="dxa"/>
            <w:gridSpan w:val="2"/>
            <w:tcBorders>
              <w:right w:val="single" w:color="auto" w:sz="4" w:space="0"/>
            </w:tcBorders>
          </w:tcPr>
          <w:p>
            <w:pPr>
              <w:spacing w:line="360" w:lineRule="auto"/>
              <w:jc w:val="center"/>
              <w:rPr>
                <w:rFonts w:ascii="仿宋" w:hAnsi="仿宋" w:eastAsia="仿宋" w:cs="Calibri"/>
                <w:sz w:val="24"/>
                <w:szCs w:val="21"/>
              </w:rPr>
            </w:pPr>
          </w:p>
        </w:tc>
        <w:tc>
          <w:tcPr>
            <w:tcW w:w="1418" w:type="dxa"/>
            <w:tcBorders>
              <w:left w:val="single" w:color="auto" w:sz="4" w:space="0"/>
              <w:right w:val="single" w:color="auto" w:sz="4" w:space="0"/>
            </w:tcBorders>
          </w:tcPr>
          <w:p>
            <w:pPr>
              <w:spacing w:line="360" w:lineRule="auto"/>
              <w:jc w:val="center"/>
              <w:rPr>
                <w:rFonts w:ascii="仿宋" w:hAnsi="仿宋" w:eastAsia="仿宋" w:cs="Calibri"/>
                <w:sz w:val="24"/>
                <w:szCs w:val="21"/>
              </w:rPr>
            </w:pPr>
          </w:p>
        </w:tc>
        <w:tc>
          <w:tcPr>
            <w:tcW w:w="1417" w:type="dxa"/>
            <w:tcBorders>
              <w:left w:val="single" w:color="auto" w:sz="4" w:space="0"/>
              <w:right w:val="single" w:color="auto" w:sz="4" w:space="0"/>
            </w:tcBorders>
          </w:tcPr>
          <w:p>
            <w:pPr>
              <w:spacing w:line="360" w:lineRule="auto"/>
              <w:jc w:val="center"/>
              <w:rPr>
                <w:rFonts w:ascii="仿宋" w:hAnsi="仿宋" w:eastAsia="仿宋" w:cs="Calibri"/>
                <w:sz w:val="24"/>
                <w:szCs w:val="21"/>
              </w:rPr>
            </w:pPr>
          </w:p>
        </w:tc>
        <w:tc>
          <w:tcPr>
            <w:tcW w:w="1931" w:type="dxa"/>
            <w:tcBorders>
              <w:left w:val="single" w:color="auto" w:sz="4" w:space="0"/>
            </w:tcBorders>
          </w:tcPr>
          <w:p>
            <w:pPr>
              <w:spacing w:line="360" w:lineRule="auto"/>
              <w:jc w:val="center"/>
              <w:rPr>
                <w:rFonts w:ascii="仿宋" w:hAnsi="仿宋" w:eastAsia="仿宋" w:cs="Calibri"/>
                <w:sz w:val="24"/>
                <w:szCs w:val="21"/>
              </w:rPr>
            </w:pPr>
          </w:p>
        </w:tc>
      </w:tr>
    </w:tbl>
    <w:p>
      <w:pPr>
        <w:spacing w:line="360" w:lineRule="auto"/>
        <w:rPr>
          <w:rFonts w:ascii="仿宋" w:hAnsi="仿宋" w:eastAsia="仿宋" w:cs="Calibri"/>
          <w:sz w:val="24"/>
          <w:szCs w:val="21"/>
        </w:rPr>
      </w:pPr>
      <w:r>
        <w:rPr>
          <w:rFonts w:hint="eastAsia" w:ascii="仿宋" w:hAnsi="仿宋" w:eastAsia="仿宋" w:cs="Calibri"/>
          <w:sz w:val="24"/>
          <w:szCs w:val="21"/>
        </w:rPr>
        <w:t>活动负责人签字：                                                              学院（部门）领导签字：</w:t>
      </w:r>
    </w:p>
    <w:p>
      <w:pPr>
        <w:spacing w:line="360" w:lineRule="auto"/>
        <w:jc w:val="center"/>
        <w:rPr>
          <w:rFonts w:ascii="仿宋" w:hAnsi="仿宋" w:eastAsia="仿宋" w:cs="Times New Roman"/>
          <w:sz w:val="24"/>
          <w:szCs w:val="24"/>
        </w:rPr>
      </w:pPr>
    </w:p>
    <w:p>
      <w:pPr>
        <w:jc w:val="right"/>
        <w:rPr>
          <w:rFonts w:ascii="仿宋_GB2312" w:eastAsia="仿宋_GB2312"/>
          <w:sz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9"/>
        <w:rFonts w:ascii="Calibri" w:hAnsi="Calibri" w:eastAsia="宋体" w:cs="Calibri"/>
        <w:kern w:val="0"/>
        <w:sz w:val="18"/>
        <w:szCs w:val="18"/>
        <w:lang w:val="en-US" w:eastAsia="zh-CN" w:bidi="ar-SA"/>
      </w:rPr>
    </w:pPr>
    <w:r>
      <w:rPr>
        <w:rStyle w:val="9"/>
        <w:rFonts w:ascii="Times New Roman" w:hAnsi="Times New Roman" w:eastAsia="宋体"/>
        <w:kern w:val="0"/>
        <w:sz w:val="18"/>
        <w:szCs w:val="18"/>
        <w:lang w:val="en-US" w:eastAsia="zh-CN" w:bidi="ar-SA"/>
      </w:rPr>
      <w:fldChar w:fldCharType="begin"/>
    </w:r>
    <w:r>
      <w:rPr>
        <w:rStyle w:val="9"/>
        <w:rFonts w:ascii="Times New Roman" w:hAnsi="Times New Roman" w:eastAsia="宋体"/>
        <w:kern w:val="0"/>
        <w:sz w:val="18"/>
        <w:szCs w:val="18"/>
        <w:lang w:val="en-US" w:eastAsia="zh-CN" w:bidi="ar-SA"/>
      </w:rPr>
      <w:instrText xml:space="preserve">PAGE  </w:instrText>
    </w:r>
    <w:r>
      <w:rPr>
        <w:rStyle w:val="9"/>
        <w:rFonts w:ascii="Times New Roman" w:hAnsi="Times New Roman" w:eastAsia="宋体"/>
        <w:kern w:val="0"/>
        <w:sz w:val="18"/>
        <w:szCs w:val="18"/>
        <w:lang w:val="en-US" w:eastAsia="zh-CN" w:bidi="ar-SA"/>
      </w:rPr>
      <w:fldChar w:fldCharType="separate"/>
    </w:r>
    <w:r>
      <w:rPr>
        <w:rStyle w:val="9"/>
        <w:rFonts w:ascii="Times New Roman" w:hAnsi="Times New Roman" w:eastAsia="宋体"/>
        <w:kern w:val="0"/>
        <w:sz w:val="18"/>
        <w:szCs w:val="18"/>
        <w:lang w:val="en-US" w:eastAsia="zh-CN" w:bidi="ar-SA"/>
      </w:rPr>
      <w:t>- 8 -</w:t>
    </w:r>
    <w:r>
      <w:rPr>
        <w:rStyle w:val="9"/>
        <w:rFonts w:ascii="Times New Roman" w:hAnsi="Times New Roman" w:eastAsia="宋体"/>
        <w:kern w:val="0"/>
        <w:sz w:val="18"/>
        <w:szCs w:val="18"/>
        <w:lang w:val="en-US" w:eastAsia="zh-CN" w:bidi="ar-SA"/>
      </w:rPr>
      <w:fldChar w:fldCharType="end"/>
    </w:r>
  </w:p>
  <w:p>
    <w:pPr>
      <w:widowControl w:val="0"/>
      <w:snapToGrid w:val="0"/>
      <w:jc w:val="left"/>
      <w:rPr>
        <w:rFonts w:ascii="Calibri" w:hAnsi="Calibri" w:eastAsia="宋体" w:cs="Calibri"/>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9"/>
        <w:rFonts w:ascii="Calibri" w:hAnsi="Calibri" w:eastAsia="宋体" w:cs="Calibri"/>
        <w:kern w:val="0"/>
        <w:sz w:val="18"/>
        <w:szCs w:val="18"/>
        <w:lang w:val="en-US" w:eastAsia="zh-CN" w:bidi="ar-SA"/>
      </w:rPr>
    </w:pPr>
    <w:r>
      <w:rPr>
        <w:rStyle w:val="9"/>
        <w:rFonts w:ascii="Times New Roman" w:hAnsi="Times New Roman" w:eastAsia="宋体"/>
        <w:kern w:val="0"/>
        <w:sz w:val="18"/>
        <w:szCs w:val="18"/>
        <w:lang w:val="en-US" w:eastAsia="zh-CN" w:bidi="ar-SA"/>
      </w:rPr>
      <w:fldChar w:fldCharType="begin"/>
    </w:r>
    <w:r>
      <w:rPr>
        <w:rStyle w:val="9"/>
        <w:rFonts w:ascii="Times New Roman" w:hAnsi="Times New Roman" w:eastAsia="宋体"/>
        <w:kern w:val="0"/>
        <w:sz w:val="18"/>
        <w:szCs w:val="18"/>
        <w:lang w:val="en-US" w:eastAsia="zh-CN" w:bidi="ar-SA"/>
      </w:rPr>
      <w:instrText xml:space="preserve">PAGE  </w:instrText>
    </w:r>
    <w:r>
      <w:rPr>
        <w:rStyle w:val="9"/>
        <w:rFonts w:ascii="Times New Roman" w:hAnsi="Times New Roman" w:eastAsia="宋体"/>
        <w:kern w:val="0"/>
        <w:sz w:val="18"/>
        <w:szCs w:val="18"/>
        <w:lang w:val="en-US" w:eastAsia="zh-CN" w:bidi="ar-SA"/>
      </w:rPr>
      <w:fldChar w:fldCharType="end"/>
    </w:r>
  </w:p>
  <w:p>
    <w:pPr>
      <w:widowControl w:val="0"/>
      <w:snapToGrid w:val="0"/>
      <w:jc w:val="left"/>
      <w:rPr>
        <w:rFonts w:ascii="Calibri" w:hAnsi="Calibri" w:eastAsia="宋体" w:cs="Calibri"/>
        <w:kern w:val="0"/>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5184F"/>
    <w:rsid w:val="00070012"/>
    <w:rsid w:val="002D2EA6"/>
    <w:rsid w:val="00324712"/>
    <w:rsid w:val="0035184F"/>
    <w:rsid w:val="0045254D"/>
    <w:rsid w:val="005419A3"/>
    <w:rsid w:val="00772782"/>
    <w:rsid w:val="00896387"/>
    <w:rsid w:val="00A83C1E"/>
    <w:rsid w:val="00AC1118"/>
    <w:rsid w:val="00BD44C3"/>
    <w:rsid w:val="00CD1868"/>
    <w:rsid w:val="00E037A7"/>
    <w:rsid w:val="103F0D61"/>
    <w:rsid w:val="13005046"/>
    <w:rsid w:val="34BE2C59"/>
    <w:rsid w:val="633D35A0"/>
    <w:rsid w:val="68D23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自选图形 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eastAsia="宋体" w:cs="Times New Roman"/>
      <w:szCs w:val="20"/>
    </w:rPr>
  </w:style>
  <w:style w:type="paragraph" w:styleId="3">
    <w:name w:val="Date"/>
    <w:basedOn w:val="1"/>
    <w:next w:val="1"/>
    <w:link w:val="12"/>
    <w:semiHidden/>
    <w:unhideWhenUsed/>
    <w:qFormat/>
    <w:uiPriority w:val="99"/>
    <w:pPr>
      <w:ind w:left="100" w:leftChars="2500"/>
    </w:p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page number"/>
    <w:qFormat/>
    <w:uiPriority w:val="99"/>
    <w:rPr>
      <w:rFonts w:cs="Times New Roman"/>
    </w:rPr>
  </w:style>
  <w:style w:type="character" w:styleId="10">
    <w:name w:val="Hyperlink"/>
    <w:basedOn w:val="8"/>
    <w:unhideWhenUsed/>
    <w:qFormat/>
    <w:uiPriority w:val="99"/>
    <w:rPr>
      <w:color w:val="0000FF" w:themeColor="hyperlink"/>
      <w:u w:val="single"/>
    </w:rPr>
  </w:style>
  <w:style w:type="character" w:customStyle="1" w:styleId="11">
    <w:name w:val="纯文本 Char"/>
    <w:basedOn w:val="8"/>
    <w:link w:val="2"/>
    <w:qFormat/>
    <w:uiPriority w:val="0"/>
    <w:rPr>
      <w:rFonts w:ascii="宋体" w:hAnsi="Courier New" w:eastAsia="宋体" w:cs="Times New Roman"/>
      <w:szCs w:val="20"/>
    </w:rPr>
  </w:style>
  <w:style w:type="character" w:customStyle="1" w:styleId="12">
    <w:name w:val="日期 Char"/>
    <w:basedOn w:val="8"/>
    <w:link w:val="3"/>
    <w:semiHidden/>
    <w:qFormat/>
    <w:uiPriority w:val="99"/>
  </w:style>
  <w:style w:type="character" w:customStyle="1" w:styleId="13">
    <w:name w:val="页眉 Char"/>
    <w:basedOn w:val="8"/>
    <w:link w:val="5"/>
    <w:semiHidden/>
    <w:qFormat/>
    <w:uiPriority w:val="99"/>
    <w:rPr>
      <w:sz w:val="18"/>
      <w:szCs w:val="18"/>
    </w:rPr>
  </w:style>
  <w:style w:type="character" w:customStyle="1" w:styleId="14">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209</Words>
  <Characters>1196</Characters>
  <Lines>9</Lines>
  <Paragraphs>2</Paragraphs>
  <TotalTime>0</TotalTime>
  <ScaleCrop>false</ScaleCrop>
  <LinksUpToDate>false</LinksUpToDate>
  <CharactersWithSpaces>1403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2018-05-14T00:40:00Z</dcterms:created>
  <dc:creator>hyh</dc:creator>
  <cp:lastModifiedBy>HYH</cp:lastModifiedBy>
  <dcterms:modified xsi:type="dcterms:W3CDTF">2021-04-12T02:35:12Z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785690097_btnclosed</vt:lpwstr>
  </property>
  <property fmtid="{D5CDD505-2E9C-101B-9397-08002B2CF9AE}" pid="3" name="KSOProductBuildVer">
    <vt:lpwstr>2052-11.1.0.10356</vt:lpwstr>
  </property>
  <property fmtid="{D5CDD505-2E9C-101B-9397-08002B2CF9AE}" pid="4" name="ICV">
    <vt:lpwstr>9A11EC0F357443A8A816F092F694AB36</vt:lpwstr>
  </property>
</Properties>
</file>